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ykn6axopiueo" w:id="0"/>
      <w:bookmarkEnd w:id="0"/>
      <w:r w:rsidDel="00000000" w:rsidR="00000000" w:rsidRPr="00000000">
        <w:rPr>
          <w:rtl w:val="0"/>
        </w:rPr>
        <w:t xml:space="preserve">Climate Smart Communities Task Force Meeting June 17th, 2020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>
          <w:color w:val="222222"/>
        </w:rPr>
      </w:pPr>
      <w:bookmarkStart w:colFirst="0" w:colLast="0" w:name="_eqhagqvc912z" w:id="1"/>
      <w:bookmarkEnd w:id="1"/>
      <w:r w:rsidDel="00000000" w:rsidR="00000000" w:rsidRPr="00000000">
        <w:rPr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color w:val="222222"/>
          <w:rtl w:val="0"/>
        </w:rPr>
        <w:t xml:space="preserve">Certification updates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Almost ready to go!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Policies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 Plan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Progress Report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After Certification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What’s next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Community CAP</w:t>
      </w:r>
    </w:p>
    <w:p w:rsidR="00000000" w:rsidDel="00000000" w:rsidP="00000000" w:rsidRDefault="00000000" w:rsidRPr="00000000" w14:paraId="0000000C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Try to get more community engagement</w:t>
      </w:r>
    </w:p>
    <w:p w:rsidR="00000000" w:rsidDel="00000000" w:rsidP="00000000" w:rsidRDefault="00000000" w:rsidRPr="00000000" w14:paraId="0000000D">
      <w:pPr>
        <w:numPr>
          <w:ilvl w:val="4"/>
          <w:numId w:val="1"/>
        </w:numPr>
        <w:ind w:left="36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What do they want to see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GHG Tracking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ind w:left="288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EPA tool free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Other business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Waste Reduction Education Campaign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Way to possibly help improve/inform about the recycling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Next meeting date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July 15 7PM</w:t>
      </w:r>
    </w:p>
    <w:p w:rsidR="00000000" w:rsidDel="00000000" w:rsidP="00000000" w:rsidRDefault="00000000" w:rsidRPr="00000000" w14:paraId="0000001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>
          <w:sz w:val="30"/>
          <w:szCs w:val="30"/>
        </w:rPr>
      </w:pPr>
      <w:bookmarkStart w:colFirst="0" w:colLast="0" w:name="_2ey2u7oewkyn" w:id="2"/>
      <w:bookmarkEnd w:id="2"/>
      <w:r w:rsidDel="00000000" w:rsidR="00000000" w:rsidRPr="00000000">
        <w:rPr>
          <w:sz w:val="30"/>
          <w:szCs w:val="30"/>
          <w:rtl w:val="0"/>
        </w:rPr>
        <w:t xml:space="preserve">Members Present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Shenequa Perry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Sean Vormwald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Pat Clune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Andrew F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Hal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Matthew Fagerheim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Jane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Ann Moore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Dan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