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kn6axopiueo" w:id="0"/>
      <w:bookmarkEnd w:id="0"/>
      <w:r w:rsidDel="00000000" w:rsidR="00000000" w:rsidRPr="00000000">
        <w:rPr>
          <w:rtl w:val="0"/>
        </w:rPr>
        <w:t xml:space="preserve">Climate Smart Communities Task Force Meeting March 26,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222222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Certification update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Policies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Folder</w:t>
        </w:r>
      </w:hyperlink>
      <w:r w:rsidDel="00000000" w:rsidR="00000000" w:rsidRPr="00000000">
        <w:rPr>
          <w:color w:val="222222"/>
          <w:rtl w:val="0"/>
        </w:rPr>
        <w:t xml:space="preserve"> with examples of policies we could get points for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Document</w:t>
        </w:r>
      </w:hyperlink>
      <w:r w:rsidDel="00000000" w:rsidR="00000000" w:rsidRPr="00000000">
        <w:rPr>
          <w:color w:val="222222"/>
          <w:rtl w:val="0"/>
        </w:rPr>
        <w:t xml:space="preserve"> with a few details for each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Ed going to work on them</w:t>
      </w:r>
    </w:p>
    <w:p w:rsidR="00000000" w:rsidDel="00000000" w:rsidP="00000000" w:rsidRDefault="00000000" w:rsidRPr="00000000" w14:paraId="00000009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Look at examples and adapt to village</w:t>
      </w:r>
    </w:p>
    <w:p w:rsidR="00000000" w:rsidDel="00000000" w:rsidP="00000000" w:rsidRDefault="00000000" w:rsidRPr="00000000" w14:paraId="0000000A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Some more than what we can do for July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Where I am at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Need your help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Compost Bin write up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Policies?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Document</w:t>
        </w:r>
      </w:hyperlink>
      <w:r w:rsidDel="00000000" w:rsidR="00000000" w:rsidRPr="00000000">
        <w:rPr>
          <w:color w:val="222222"/>
          <w:rtl w:val="0"/>
        </w:rPr>
        <w:t xml:space="preserve"> with ways villagers can reduce personal emissions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Shenequa will ask Sean for help writing up documentation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New ideas, news, ect.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Pollinator patches 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Community garden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This year all planted with wildflowers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Ask DEC for seeds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If not from DEC ask Village to purchase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Yards allowed to go back to meadows</w:t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Village code dictats can’t grow to tall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Need more research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Fence in and let go- “wildflower garden” keep somewhat upkept 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What things would be acceptable, guidance for residents and code officers  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Bus shelter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On hold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Library Climate Book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On hold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Compost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Possibly food waste going landfill for composting of cardboard and such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Recycling no change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to do for next meeting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Pat Clune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Andrew F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Jonathan Kirkwyland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Hal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Matthew Fagerheim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Angela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Jane</w:t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1go4r06joznt" w:id="3"/>
      <w:bookmarkEnd w:id="3"/>
      <w:r w:rsidDel="00000000" w:rsidR="00000000" w:rsidRPr="00000000">
        <w:rPr>
          <w:sz w:val="30"/>
          <w:szCs w:val="30"/>
          <w:rtl w:val="0"/>
        </w:rPr>
        <w:t xml:space="preserve">Green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Innovative Action: partnership with the Homer Environmental Club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Email Mr. Kirkwyland about composting at the landfill and potential district partnership</w:t>
      </w:r>
    </w:p>
    <w:p w:rsidR="00000000" w:rsidDel="00000000" w:rsidP="00000000" w:rsidRDefault="00000000" w:rsidRPr="00000000" w14:paraId="00000033">
      <w:pPr>
        <w:pStyle w:val="Heading1"/>
        <w:rPr>
          <w:sz w:val="30"/>
          <w:szCs w:val="30"/>
        </w:rPr>
      </w:pPr>
      <w:bookmarkStart w:colFirst="0" w:colLast="0" w:name="_uvzqkl9zdvfz" w:id="4"/>
      <w:bookmarkEnd w:id="4"/>
      <w:r w:rsidDel="00000000" w:rsidR="00000000" w:rsidRPr="00000000">
        <w:rPr>
          <w:sz w:val="30"/>
          <w:szCs w:val="30"/>
          <w:rtl w:val="0"/>
        </w:rPr>
        <w:t xml:space="preserve">Shenequa Tasks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Remind hal to give me village host info for Zoom for next call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Email sean info for action submission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Email angela about compost bin write up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Email jane about website village what you can do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>
          <w:sz w:val="30"/>
          <w:szCs w:val="30"/>
        </w:rPr>
      </w:pPr>
      <w:bookmarkStart w:colFirst="0" w:colLast="0" w:name="_owglyybksxmd" w:id="5"/>
      <w:bookmarkEnd w:id="5"/>
      <w:r w:rsidDel="00000000" w:rsidR="00000000" w:rsidRPr="00000000">
        <w:rPr>
          <w:sz w:val="30"/>
          <w:szCs w:val="30"/>
          <w:rtl w:val="0"/>
        </w:rPr>
        <w:t xml:space="preserve">Village Tasks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Homer News- community garden going to pollinator garden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Lawns going to wildflower gardens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Could you put in something saying to go to the village website and take a look at our Action plan and send thoughts and comments. Or just to go check out what we are doing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dFeQ4km8ASC3Kf4FVbmBMV3UJSu2VI3O" TargetMode="External"/><Relationship Id="rId7" Type="http://schemas.openxmlformats.org/officeDocument/2006/relationships/hyperlink" Target="https://docs.google.com/document/d/1OPSkWSJmnQZuS2ieBjfBDPXXTTOYtxLLDOGc7popk50/edit?usp=sharing" TargetMode="External"/><Relationship Id="rId8" Type="http://schemas.openxmlformats.org/officeDocument/2006/relationships/hyperlink" Target="https://docs.google.com/document/d/1SRysWRTbFhzZNOqcVrfZ_pJRNiD3B3liNjsGLp0NFl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