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222FA" w14:textId="77777777" w:rsidR="003345CA" w:rsidRDefault="0046350E">
      <w:pPr>
        <w:pStyle w:val="Title"/>
        <w:pBdr>
          <w:top w:val="nil"/>
          <w:left w:val="nil"/>
          <w:bottom w:val="nil"/>
          <w:right w:val="nil"/>
          <w:between w:val="nil"/>
        </w:pBdr>
        <w:ind w:firstLine="0"/>
        <w:jc w:val="center"/>
        <w:rPr>
          <w:b/>
        </w:rPr>
      </w:pPr>
      <w:bookmarkStart w:id="0" w:name="_mbjsiz6n6jlo" w:colFirst="0" w:colLast="0"/>
      <w:bookmarkEnd w:id="0"/>
      <w:r>
        <w:rPr>
          <w:b/>
        </w:rPr>
        <w:t>Community Greenhouse Gas Inventory</w:t>
      </w:r>
    </w:p>
    <w:p w14:paraId="1CE48CFD" w14:textId="77777777" w:rsidR="003345CA" w:rsidRDefault="0046350E">
      <w:pPr>
        <w:pStyle w:val="Subtitle"/>
        <w:pBdr>
          <w:top w:val="nil"/>
          <w:left w:val="nil"/>
          <w:bottom w:val="nil"/>
          <w:right w:val="nil"/>
          <w:between w:val="nil"/>
        </w:pBdr>
        <w:jc w:val="center"/>
        <w:rPr>
          <w:color w:val="000000"/>
          <w:sz w:val="60"/>
          <w:szCs w:val="60"/>
        </w:rPr>
      </w:pPr>
      <w:bookmarkStart w:id="1" w:name="_vb8p0lepu9vn" w:colFirst="0" w:colLast="0"/>
      <w:bookmarkEnd w:id="1"/>
      <w:r>
        <w:rPr>
          <w:color w:val="000000"/>
          <w:sz w:val="60"/>
          <w:szCs w:val="60"/>
        </w:rPr>
        <w:t>2018</w:t>
      </w:r>
    </w:p>
    <w:p w14:paraId="07019A49" w14:textId="77777777" w:rsidR="003345CA" w:rsidRDefault="0046350E">
      <w:pPr>
        <w:pStyle w:val="Subtitle"/>
        <w:pBdr>
          <w:top w:val="nil"/>
          <w:left w:val="nil"/>
          <w:bottom w:val="nil"/>
          <w:right w:val="nil"/>
          <w:between w:val="nil"/>
        </w:pBdr>
        <w:jc w:val="center"/>
        <w:rPr>
          <w:color w:val="000000"/>
          <w:sz w:val="60"/>
          <w:szCs w:val="60"/>
        </w:rPr>
      </w:pPr>
      <w:bookmarkStart w:id="2" w:name="_3ctwk9euwgmi" w:colFirst="0" w:colLast="0"/>
      <w:bookmarkEnd w:id="2"/>
      <w:r>
        <w:rPr>
          <w:color w:val="000000"/>
          <w:sz w:val="60"/>
          <w:szCs w:val="60"/>
        </w:rPr>
        <w:t>Village of Homer, New York</w:t>
      </w:r>
    </w:p>
    <w:p w14:paraId="638883DC" w14:textId="77777777" w:rsidR="003345CA" w:rsidRDefault="003345CA"/>
    <w:p w14:paraId="0737889C" w14:textId="639DB93D" w:rsidR="003345CA" w:rsidRDefault="0046350E">
      <w:pPr>
        <w:jc w:val="center"/>
      </w:pPr>
      <w:r>
        <w:t xml:space="preserve">Prepared by: Jennifer </w:t>
      </w:r>
      <w:proofErr w:type="spellStart"/>
      <w:r>
        <w:t>Geck</w:t>
      </w:r>
      <w:proofErr w:type="spellEnd"/>
      <w:r>
        <w:t xml:space="preserve">, Andrew Goodwin, Kyle Grant, and Marcus </w:t>
      </w:r>
      <w:proofErr w:type="spellStart"/>
      <w:r>
        <w:t>Koesterer</w:t>
      </w:r>
      <w:proofErr w:type="spellEnd"/>
    </w:p>
    <w:p w14:paraId="34D84163" w14:textId="79A1A343" w:rsidR="005D4676" w:rsidRDefault="005D4676">
      <w:pPr>
        <w:jc w:val="center"/>
      </w:pPr>
      <w:r>
        <w:t>Revisions by Amanda Mazzoni, 5/8/20</w:t>
      </w:r>
    </w:p>
    <w:p w14:paraId="78807B8C" w14:textId="77777777" w:rsidR="003345CA" w:rsidRDefault="0046350E">
      <w:pPr>
        <w:pBdr>
          <w:top w:val="nil"/>
          <w:left w:val="nil"/>
          <w:bottom w:val="nil"/>
          <w:right w:val="nil"/>
          <w:between w:val="nil"/>
        </w:pBdr>
        <w:spacing w:before="60"/>
      </w:pPr>
      <w:r>
        <w:rPr>
          <w:noProof/>
          <w:sz w:val="24"/>
          <w:szCs w:val="24"/>
        </w:rPr>
        <w:drawing>
          <wp:inline distT="114300" distB="114300" distL="114300" distR="114300" wp14:anchorId="72BDC164" wp14:editId="74B108F8">
            <wp:extent cx="5943600" cy="38100"/>
            <wp:effectExtent l="0" t="0" r="0" b="0"/>
            <wp:docPr id="10"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8"/>
                    <a:srcRect/>
                    <a:stretch>
                      <a:fillRect/>
                    </a:stretch>
                  </pic:blipFill>
                  <pic:spPr>
                    <a:xfrm>
                      <a:off x="0" y="0"/>
                      <a:ext cx="5943600" cy="38100"/>
                    </a:xfrm>
                    <a:prstGeom prst="rect">
                      <a:avLst/>
                    </a:prstGeom>
                    <a:ln/>
                  </pic:spPr>
                </pic:pic>
              </a:graphicData>
            </a:graphic>
          </wp:inline>
        </w:drawing>
      </w:r>
    </w:p>
    <w:p w14:paraId="3A84C5BC" w14:textId="77777777" w:rsidR="003345CA" w:rsidRDefault="0046350E" w:rsidP="00071979">
      <w:pPr>
        <w:jc w:val="center"/>
      </w:pPr>
      <w:bookmarkStart w:id="3" w:name="_vydniszftb1n" w:colFirst="0" w:colLast="0"/>
      <w:bookmarkStart w:id="4" w:name="_m1cqx5kdl1zm" w:colFirst="0" w:colLast="0"/>
      <w:bookmarkEnd w:id="3"/>
      <w:bookmarkEnd w:id="4"/>
      <w:r>
        <w:rPr>
          <w:noProof/>
        </w:rPr>
        <w:drawing>
          <wp:inline distT="114300" distB="114300" distL="114300" distR="114300" wp14:anchorId="46B204CF" wp14:editId="7BE83A33">
            <wp:extent cx="4400550" cy="440055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400838" cy="4400838"/>
                    </a:xfrm>
                    <a:prstGeom prst="rect">
                      <a:avLst/>
                    </a:prstGeom>
                    <a:ln/>
                  </pic:spPr>
                </pic:pic>
              </a:graphicData>
            </a:graphic>
          </wp:inline>
        </w:drawing>
      </w:r>
    </w:p>
    <w:bookmarkStart w:id="5" w:name="_ofv3l7eec097" w:colFirst="0" w:colLast="0" w:displacedByCustomXml="next"/>
    <w:bookmarkEnd w:id="5" w:displacedByCustomXml="next"/>
    <w:bookmarkStart w:id="6" w:name="_be45tm1svcp4" w:colFirst="0" w:colLast="0" w:displacedByCustomXml="next"/>
    <w:bookmarkEnd w:id="6" w:displacedByCustomXml="next"/>
    <w:sdt>
      <w:sdtPr>
        <w:rPr>
          <w:rFonts w:ascii="Open Sans" w:eastAsia="Open Sans" w:hAnsi="Open Sans" w:cs="Open Sans"/>
          <w:color w:val="auto"/>
          <w:sz w:val="22"/>
          <w:szCs w:val="22"/>
          <w:lang w:val="en"/>
        </w:rPr>
        <w:id w:val="1288155194"/>
        <w:docPartObj>
          <w:docPartGallery w:val="Table of Contents"/>
          <w:docPartUnique/>
        </w:docPartObj>
      </w:sdtPr>
      <w:sdtEndPr>
        <w:rPr>
          <w:b/>
          <w:bCs/>
          <w:noProof/>
        </w:rPr>
      </w:sdtEndPr>
      <w:sdtContent>
        <w:p w14:paraId="422B6D6B" w14:textId="3E60514D" w:rsidR="00071979" w:rsidRDefault="00071979">
          <w:pPr>
            <w:pStyle w:val="TOCHeading"/>
          </w:pPr>
          <w:r>
            <w:t>Contents</w:t>
          </w:r>
        </w:p>
        <w:p w14:paraId="206FC5F9" w14:textId="7C66F259" w:rsidR="00071979" w:rsidRDefault="00071979">
          <w:pPr>
            <w:pStyle w:val="TOC1"/>
            <w:tabs>
              <w:tab w:val="right" w:leader="dot" w:pos="935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39826919" w:history="1">
            <w:r w:rsidRPr="00481546">
              <w:rPr>
                <w:rStyle w:val="Hyperlink"/>
                <w:noProof/>
              </w:rPr>
              <w:t>Chapter 1: Introduction</w:t>
            </w:r>
            <w:r>
              <w:rPr>
                <w:noProof/>
                <w:webHidden/>
              </w:rPr>
              <w:tab/>
            </w:r>
            <w:r>
              <w:rPr>
                <w:noProof/>
                <w:webHidden/>
              </w:rPr>
              <w:fldChar w:fldCharType="begin"/>
            </w:r>
            <w:r>
              <w:rPr>
                <w:noProof/>
                <w:webHidden/>
              </w:rPr>
              <w:instrText xml:space="preserve"> PAGEREF _Toc39826919 \h </w:instrText>
            </w:r>
            <w:r>
              <w:rPr>
                <w:noProof/>
                <w:webHidden/>
              </w:rPr>
            </w:r>
            <w:r>
              <w:rPr>
                <w:noProof/>
                <w:webHidden/>
              </w:rPr>
              <w:fldChar w:fldCharType="separate"/>
            </w:r>
            <w:r>
              <w:rPr>
                <w:noProof/>
                <w:webHidden/>
              </w:rPr>
              <w:t>4</w:t>
            </w:r>
            <w:r>
              <w:rPr>
                <w:noProof/>
                <w:webHidden/>
              </w:rPr>
              <w:fldChar w:fldCharType="end"/>
            </w:r>
          </w:hyperlink>
        </w:p>
        <w:p w14:paraId="7B0AB260" w14:textId="1C188DAA" w:rsidR="00071979" w:rsidRDefault="00610EEF">
          <w:pPr>
            <w:pStyle w:val="TOC2"/>
            <w:tabs>
              <w:tab w:val="right" w:leader="dot" w:pos="9350"/>
            </w:tabs>
            <w:rPr>
              <w:rFonts w:asciiTheme="minorHAnsi" w:eastAsiaTheme="minorEastAsia" w:hAnsiTheme="minorHAnsi" w:cstheme="minorBidi"/>
              <w:noProof/>
              <w:lang w:val="en-US"/>
            </w:rPr>
          </w:pPr>
          <w:hyperlink w:anchor="_Toc39826920" w:history="1">
            <w:r w:rsidR="00071979" w:rsidRPr="00481546">
              <w:rPr>
                <w:rStyle w:val="Hyperlink"/>
                <w:noProof/>
              </w:rPr>
              <w:t>1.1 Executive Summary</w:t>
            </w:r>
            <w:r w:rsidR="00071979">
              <w:rPr>
                <w:noProof/>
                <w:webHidden/>
              </w:rPr>
              <w:tab/>
            </w:r>
            <w:r w:rsidR="00071979">
              <w:rPr>
                <w:noProof/>
                <w:webHidden/>
              </w:rPr>
              <w:fldChar w:fldCharType="begin"/>
            </w:r>
            <w:r w:rsidR="00071979">
              <w:rPr>
                <w:noProof/>
                <w:webHidden/>
              </w:rPr>
              <w:instrText xml:space="preserve"> PAGEREF _Toc39826920 \h </w:instrText>
            </w:r>
            <w:r w:rsidR="00071979">
              <w:rPr>
                <w:noProof/>
                <w:webHidden/>
              </w:rPr>
            </w:r>
            <w:r w:rsidR="00071979">
              <w:rPr>
                <w:noProof/>
                <w:webHidden/>
              </w:rPr>
              <w:fldChar w:fldCharType="separate"/>
            </w:r>
            <w:r w:rsidR="00071979">
              <w:rPr>
                <w:noProof/>
                <w:webHidden/>
              </w:rPr>
              <w:t>4</w:t>
            </w:r>
            <w:r w:rsidR="00071979">
              <w:rPr>
                <w:noProof/>
                <w:webHidden/>
              </w:rPr>
              <w:fldChar w:fldCharType="end"/>
            </w:r>
          </w:hyperlink>
        </w:p>
        <w:p w14:paraId="646A13AB" w14:textId="455680E3" w:rsidR="00071979" w:rsidRDefault="00610EEF">
          <w:pPr>
            <w:pStyle w:val="TOC2"/>
            <w:tabs>
              <w:tab w:val="right" w:leader="dot" w:pos="9350"/>
            </w:tabs>
            <w:rPr>
              <w:rFonts w:asciiTheme="minorHAnsi" w:eastAsiaTheme="minorEastAsia" w:hAnsiTheme="minorHAnsi" w:cstheme="minorBidi"/>
              <w:noProof/>
              <w:lang w:val="en-US"/>
            </w:rPr>
          </w:pPr>
          <w:hyperlink w:anchor="_Toc39826921" w:history="1">
            <w:r w:rsidR="00071979" w:rsidRPr="00481546">
              <w:rPr>
                <w:rStyle w:val="Hyperlink"/>
                <w:noProof/>
              </w:rPr>
              <w:t>1.2 The Greenhouse Gas Effect</w:t>
            </w:r>
            <w:r w:rsidR="00071979">
              <w:rPr>
                <w:noProof/>
                <w:webHidden/>
              </w:rPr>
              <w:tab/>
            </w:r>
            <w:r w:rsidR="00071979">
              <w:rPr>
                <w:noProof/>
                <w:webHidden/>
              </w:rPr>
              <w:fldChar w:fldCharType="begin"/>
            </w:r>
            <w:r w:rsidR="00071979">
              <w:rPr>
                <w:noProof/>
                <w:webHidden/>
              </w:rPr>
              <w:instrText xml:space="preserve"> PAGEREF _Toc39826921 \h </w:instrText>
            </w:r>
            <w:r w:rsidR="00071979">
              <w:rPr>
                <w:noProof/>
                <w:webHidden/>
              </w:rPr>
            </w:r>
            <w:r w:rsidR="00071979">
              <w:rPr>
                <w:noProof/>
                <w:webHidden/>
              </w:rPr>
              <w:fldChar w:fldCharType="separate"/>
            </w:r>
            <w:r w:rsidR="00071979">
              <w:rPr>
                <w:noProof/>
                <w:webHidden/>
              </w:rPr>
              <w:t>4</w:t>
            </w:r>
            <w:r w:rsidR="00071979">
              <w:rPr>
                <w:noProof/>
                <w:webHidden/>
              </w:rPr>
              <w:fldChar w:fldCharType="end"/>
            </w:r>
          </w:hyperlink>
        </w:p>
        <w:p w14:paraId="54817EA1" w14:textId="7047BED3" w:rsidR="00071979" w:rsidRDefault="00610EEF">
          <w:pPr>
            <w:pStyle w:val="TOC2"/>
            <w:tabs>
              <w:tab w:val="right" w:leader="dot" w:pos="9350"/>
            </w:tabs>
            <w:rPr>
              <w:rFonts w:asciiTheme="minorHAnsi" w:eastAsiaTheme="minorEastAsia" w:hAnsiTheme="minorHAnsi" w:cstheme="minorBidi"/>
              <w:noProof/>
              <w:lang w:val="en-US"/>
            </w:rPr>
          </w:pPr>
          <w:hyperlink w:anchor="_Toc39826922" w:history="1">
            <w:r w:rsidR="00071979" w:rsidRPr="00481546">
              <w:rPr>
                <w:rStyle w:val="Hyperlink"/>
                <w:noProof/>
              </w:rPr>
              <w:t>1.3 Climate Action in New York</w:t>
            </w:r>
            <w:r w:rsidR="00071979">
              <w:rPr>
                <w:noProof/>
                <w:webHidden/>
              </w:rPr>
              <w:tab/>
            </w:r>
            <w:r w:rsidR="00071979">
              <w:rPr>
                <w:noProof/>
                <w:webHidden/>
              </w:rPr>
              <w:fldChar w:fldCharType="begin"/>
            </w:r>
            <w:r w:rsidR="00071979">
              <w:rPr>
                <w:noProof/>
                <w:webHidden/>
              </w:rPr>
              <w:instrText xml:space="preserve"> PAGEREF _Toc39826922 \h </w:instrText>
            </w:r>
            <w:r w:rsidR="00071979">
              <w:rPr>
                <w:noProof/>
                <w:webHidden/>
              </w:rPr>
            </w:r>
            <w:r w:rsidR="00071979">
              <w:rPr>
                <w:noProof/>
                <w:webHidden/>
              </w:rPr>
              <w:fldChar w:fldCharType="separate"/>
            </w:r>
            <w:r w:rsidR="00071979">
              <w:rPr>
                <w:noProof/>
                <w:webHidden/>
              </w:rPr>
              <w:t>5</w:t>
            </w:r>
            <w:r w:rsidR="00071979">
              <w:rPr>
                <w:noProof/>
                <w:webHidden/>
              </w:rPr>
              <w:fldChar w:fldCharType="end"/>
            </w:r>
          </w:hyperlink>
        </w:p>
        <w:p w14:paraId="06E3DBD4" w14:textId="04AEC81C" w:rsidR="00071979" w:rsidRDefault="00610EEF">
          <w:pPr>
            <w:pStyle w:val="TOC2"/>
            <w:tabs>
              <w:tab w:val="right" w:leader="dot" w:pos="9350"/>
            </w:tabs>
            <w:rPr>
              <w:rFonts w:asciiTheme="minorHAnsi" w:eastAsiaTheme="minorEastAsia" w:hAnsiTheme="minorHAnsi" w:cstheme="minorBidi"/>
              <w:noProof/>
              <w:lang w:val="en-US"/>
            </w:rPr>
          </w:pPr>
          <w:hyperlink w:anchor="_Toc39826923" w:history="1">
            <w:r w:rsidR="00071979" w:rsidRPr="00481546">
              <w:rPr>
                <w:rStyle w:val="Hyperlink"/>
                <w:noProof/>
              </w:rPr>
              <w:t>1.4 The Village of Homer</w:t>
            </w:r>
            <w:r w:rsidR="00071979">
              <w:rPr>
                <w:noProof/>
                <w:webHidden/>
              </w:rPr>
              <w:tab/>
            </w:r>
            <w:r w:rsidR="00071979">
              <w:rPr>
                <w:noProof/>
                <w:webHidden/>
              </w:rPr>
              <w:fldChar w:fldCharType="begin"/>
            </w:r>
            <w:r w:rsidR="00071979">
              <w:rPr>
                <w:noProof/>
                <w:webHidden/>
              </w:rPr>
              <w:instrText xml:space="preserve"> PAGEREF _Toc39826923 \h </w:instrText>
            </w:r>
            <w:r w:rsidR="00071979">
              <w:rPr>
                <w:noProof/>
                <w:webHidden/>
              </w:rPr>
            </w:r>
            <w:r w:rsidR="00071979">
              <w:rPr>
                <w:noProof/>
                <w:webHidden/>
              </w:rPr>
              <w:fldChar w:fldCharType="separate"/>
            </w:r>
            <w:r w:rsidR="00071979">
              <w:rPr>
                <w:noProof/>
                <w:webHidden/>
              </w:rPr>
              <w:t>7</w:t>
            </w:r>
            <w:r w:rsidR="00071979">
              <w:rPr>
                <w:noProof/>
                <w:webHidden/>
              </w:rPr>
              <w:fldChar w:fldCharType="end"/>
            </w:r>
          </w:hyperlink>
        </w:p>
        <w:p w14:paraId="6E7518B9" w14:textId="5294E51C" w:rsidR="00071979" w:rsidRDefault="00610EEF">
          <w:pPr>
            <w:pStyle w:val="TOC1"/>
            <w:tabs>
              <w:tab w:val="right" w:leader="dot" w:pos="9350"/>
            </w:tabs>
            <w:rPr>
              <w:rFonts w:asciiTheme="minorHAnsi" w:eastAsiaTheme="minorEastAsia" w:hAnsiTheme="minorHAnsi" w:cstheme="minorBidi"/>
              <w:noProof/>
              <w:lang w:val="en-US"/>
            </w:rPr>
          </w:pPr>
          <w:hyperlink w:anchor="_Toc39826924" w:history="1">
            <w:r w:rsidR="00071979" w:rsidRPr="00481546">
              <w:rPr>
                <w:rStyle w:val="Hyperlink"/>
                <w:noProof/>
              </w:rPr>
              <w:t>Chapter 2: Methods &amp; Focus Areas</w:t>
            </w:r>
            <w:r w:rsidR="00071979">
              <w:rPr>
                <w:noProof/>
                <w:webHidden/>
              </w:rPr>
              <w:tab/>
            </w:r>
            <w:r w:rsidR="00071979">
              <w:rPr>
                <w:noProof/>
                <w:webHidden/>
              </w:rPr>
              <w:fldChar w:fldCharType="begin"/>
            </w:r>
            <w:r w:rsidR="00071979">
              <w:rPr>
                <w:noProof/>
                <w:webHidden/>
              </w:rPr>
              <w:instrText xml:space="preserve"> PAGEREF _Toc39826924 \h </w:instrText>
            </w:r>
            <w:r w:rsidR="00071979">
              <w:rPr>
                <w:noProof/>
                <w:webHidden/>
              </w:rPr>
            </w:r>
            <w:r w:rsidR="00071979">
              <w:rPr>
                <w:noProof/>
                <w:webHidden/>
              </w:rPr>
              <w:fldChar w:fldCharType="separate"/>
            </w:r>
            <w:r w:rsidR="00071979">
              <w:rPr>
                <w:noProof/>
                <w:webHidden/>
              </w:rPr>
              <w:t>10</w:t>
            </w:r>
            <w:r w:rsidR="00071979">
              <w:rPr>
                <w:noProof/>
                <w:webHidden/>
              </w:rPr>
              <w:fldChar w:fldCharType="end"/>
            </w:r>
          </w:hyperlink>
        </w:p>
        <w:p w14:paraId="1D4260B4" w14:textId="74C14C79" w:rsidR="00071979" w:rsidRDefault="00610EEF">
          <w:pPr>
            <w:pStyle w:val="TOC2"/>
            <w:tabs>
              <w:tab w:val="right" w:leader="dot" w:pos="9350"/>
            </w:tabs>
            <w:rPr>
              <w:rFonts w:asciiTheme="minorHAnsi" w:eastAsiaTheme="minorEastAsia" w:hAnsiTheme="minorHAnsi" w:cstheme="minorBidi"/>
              <w:noProof/>
              <w:lang w:val="en-US"/>
            </w:rPr>
          </w:pPr>
          <w:hyperlink w:anchor="_Toc39826925" w:history="1">
            <w:r w:rsidR="00071979" w:rsidRPr="00481546">
              <w:rPr>
                <w:rStyle w:val="Hyperlink"/>
                <w:noProof/>
              </w:rPr>
              <w:t>2.1 Methods and Scope</w:t>
            </w:r>
            <w:r w:rsidR="00071979">
              <w:rPr>
                <w:noProof/>
                <w:webHidden/>
              </w:rPr>
              <w:tab/>
            </w:r>
            <w:r w:rsidR="00071979">
              <w:rPr>
                <w:noProof/>
                <w:webHidden/>
              </w:rPr>
              <w:fldChar w:fldCharType="begin"/>
            </w:r>
            <w:r w:rsidR="00071979">
              <w:rPr>
                <w:noProof/>
                <w:webHidden/>
              </w:rPr>
              <w:instrText xml:space="preserve"> PAGEREF _Toc39826925 \h </w:instrText>
            </w:r>
            <w:r w:rsidR="00071979">
              <w:rPr>
                <w:noProof/>
                <w:webHidden/>
              </w:rPr>
            </w:r>
            <w:r w:rsidR="00071979">
              <w:rPr>
                <w:noProof/>
                <w:webHidden/>
              </w:rPr>
              <w:fldChar w:fldCharType="separate"/>
            </w:r>
            <w:r w:rsidR="00071979">
              <w:rPr>
                <w:noProof/>
                <w:webHidden/>
              </w:rPr>
              <w:t>10</w:t>
            </w:r>
            <w:r w:rsidR="00071979">
              <w:rPr>
                <w:noProof/>
                <w:webHidden/>
              </w:rPr>
              <w:fldChar w:fldCharType="end"/>
            </w:r>
          </w:hyperlink>
        </w:p>
        <w:p w14:paraId="168497A9" w14:textId="1CE01DDF" w:rsidR="00071979" w:rsidRDefault="00610EEF">
          <w:pPr>
            <w:pStyle w:val="TOC2"/>
            <w:tabs>
              <w:tab w:val="right" w:leader="dot" w:pos="9350"/>
            </w:tabs>
            <w:rPr>
              <w:rFonts w:asciiTheme="minorHAnsi" w:eastAsiaTheme="minorEastAsia" w:hAnsiTheme="minorHAnsi" w:cstheme="minorBidi"/>
              <w:noProof/>
              <w:lang w:val="en-US"/>
            </w:rPr>
          </w:pPr>
          <w:hyperlink w:anchor="_Toc39826926" w:history="1">
            <w:r w:rsidR="00071979" w:rsidRPr="00481546">
              <w:rPr>
                <w:rStyle w:val="Hyperlink"/>
                <w:noProof/>
              </w:rPr>
              <w:t>2.2 Energy - Electricity</w:t>
            </w:r>
            <w:r w:rsidR="00071979">
              <w:rPr>
                <w:noProof/>
                <w:webHidden/>
              </w:rPr>
              <w:tab/>
            </w:r>
            <w:r w:rsidR="00071979">
              <w:rPr>
                <w:noProof/>
                <w:webHidden/>
              </w:rPr>
              <w:fldChar w:fldCharType="begin"/>
            </w:r>
            <w:r w:rsidR="00071979">
              <w:rPr>
                <w:noProof/>
                <w:webHidden/>
              </w:rPr>
              <w:instrText xml:space="preserve"> PAGEREF _Toc39826926 \h </w:instrText>
            </w:r>
            <w:r w:rsidR="00071979">
              <w:rPr>
                <w:noProof/>
                <w:webHidden/>
              </w:rPr>
            </w:r>
            <w:r w:rsidR="00071979">
              <w:rPr>
                <w:noProof/>
                <w:webHidden/>
              </w:rPr>
              <w:fldChar w:fldCharType="separate"/>
            </w:r>
            <w:r w:rsidR="00071979">
              <w:rPr>
                <w:noProof/>
                <w:webHidden/>
              </w:rPr>
              <w:t>10</w:t>
            </w:r>
            <w:r w:rsidR="00071979">
              <w:rPr>
                <w:noProof/>
                <w:webHidden/>
              </w:rPr>
              <w:fldChar w:fldCharType="end"/>
            </w:r>
          </w:hyperlink>
        </w:p>
        <w:p w14:paraId="77BADFB2" w14:textId="65710EB2" w:rsidR="00071979" w:rsidRDefault="00610EEF">
          <w:pPr>
            <w:pStyle w:val="TOC2"/>
            <w:tabs>
              <w:tab w:val="right" w:leader="dot" w:pos="9350"/>
            </w:tabs>
            <w:rPr>
              <w:rFonts w:asciiTheme="minorHAnsi" w:eastAsiaTheme="minorEastAsia" w:hAnsiTheme="minorHAnsi" w:cstheme="minorBidi"/>
              <w:noProof/>
              <w:lang w:val="en-US"/>
            </w:rPr>
          </w:pPr>
          <w:hyperlink w:anchor="_Toc39826927" w:history="1">
            <w:r w:rsidR="00071979" w:rsidRPr="00481546">
              <w:rPr>
                <w:rStyle w:val="Hyperlink"/>
                <w:noProof/>
              </w:rPr>
              <w:t>2.3 Energy - Natural Gas</w:t>
            </w:r>
            <w:r w:rsidR="00071979">
              <w:rPr>
                <w:noProof/>
                <w:webHidden/>
              </w:rPr>
              <w:tab/>
            </w:r>
            <w:r w:rsidR="00071979">
              <w:rPr>
                <w:noProof/>
                <w:webHidden/>
              </w:rPr>
              <w:fldChar w:fldCharType="begin"/>
            </w:r>
            <w:r w:rsidR="00071979">
              <w:rPr>
                <w:noProof/>
                <w:webHidden/>
              </w:rPr>
              <w:instrText xml:space="preserve"> PAGEREF _Toc39826927 \h </w:instrText>
            </w:r>
            <w:r w:rsidR="00071979">
              <w:rPr>
                <w:noProof/>
                <w:webHidden/>
              </w:rPr>
            </w:r>
            <w:r w:rsidR="00071979">
              <w:rPr>
                <w:noProof/>
                <w:webHidden/>
              </w:rPr>
              <w:fldChar w:fldCharType="separate"/>
            </w:r>
            <w:r w:rsidR="00071979">
              <w:rPr>
                <w:noProof/>
                <w:webHidden/>
              </w:rPr>
              <w:t>11</w:t>
            </w:r>
            <w:r w:rsidR="00071979">
              <w:rPr>
                <w:noProof/>
                <w:webHidden/>
              </w:rPr>
              <w:fldChar w:fldCharType="end"/>
            </w:r>
          </w:hyperlink>
        </w:p>
        <w:p w14:paraId="57249D6F" w14:textId="37DB2D5A" w:rsidR="00071979" w:rsidRDefault="00610EEF">
          <w:pPr>
            <w:pStyle w:val="TOC2"/>
            <w:tabs>
              <w:tab w:val="right" w:leader="dot" w:pos="9350"/>
            </w:tabs>
            <w:rPr>
              <w:rFonts w:asciiTheme="minorHAnsi" w:eastAsiaTheme="minorEastAsia" w:hAnsiTheme="minorHAnsi" w:cstheme="minorBidi"/>
              <w:noProof/>
              <w:lang w:val="en-US"/>
            </w:rPr>
          </w:pPr>
          <w:hyperlink w:anchor="_Toc39826928" w:history="1">
            <w:r w:rsidR="00071979" w:rsidRPr="00481546">
              <w:rPr>
                <w:rStyle w:val="Hyperlink"/>
                <w:noProof/>
              </w:rPr>
              <w:t>2.4 Transportation</w:t>
            </w:r>
            <w:r w:rsidR="00071979">
              <w:rPr>
                <w:noProof/>
                <w:webHidden/>
              </w:rPr>
              <w:tab/>
            </w:r>
            <w:r w:rsidR="00071979">
              <w:rPr>
                <w:noProof/>
                <w:webHidden/>
              </w:rPr>
              <w:fldChar w:fldCharType="begin"/>
            </w:r>
            <w:r w:rsidR="00071979">
              <w:rPr>
                <w:noProof/>
                <w:webHidden/>
              </w:rPr>
              <w:instrText xml:space="preserve"> PAGEREF _Toc39826928 \h </w:instrText>
            </w:r>
            <w:r w:rsidR="00071979">
              <w:rPr>
                <w:noProof/>
                <w:webHidden/>
              </w:rPr>
            </w:r>
            <w:r w:rsidR="00071979">
              <w:rPr>
                <w:noProof/>
                <w:webHidden/>
              </w:rPr>
              <w:fldChar w:fldCharType="separate"/>
            </w:r>
            <w:r w:rsidR="00071979">
              <w:rPr>
                <w:noProof/>
                <w:webHidden/>
              </w:rPr>
              <w:t>11</w:t>
            </w:r>
            <w:r w:rsidR="00071979">
              <w:rPr>
                <w:noProof/>
                <w:webHidden/>
              </w:rPr>
              <w:fldChar w:fldCharType="end"/>
            </w:r>
          </w:hyperlink>
        </w:p>
        <w:p w14:paraId="32B88936" w14:textId="42A8D8AB" w:rsidR="00071979" w:rsidRDefault="00610EEF">
          <w:pPr>
            <w:pStyle w:val="TOC2"/>
            <w:tabs>
              <w:tab w:val="right" w:leader="dot" w:pos="9350"/>
            </w:tabs>
            <w:rPr>
              <w:rFonts w:asciiTheme="minorHAnsi" w:eastAsiaTheme="minorEastAsia" w:hAnsiTheme="minorHAnsi" w:cstheme="minorBidi"/>
              <w:noProof/>
              <w:lang w:val="en-US"/>
            </w:rPr>
          </w:pPr>
          <w:hyperlink w:anchor="_Toc39826929" w:history="1">
            <w:r w:rsidR="00071979" w:rsidRPr="00481546">
              <w:rPr>
                <w:rStyle w:val="Hyperlink"/>
                <w:noProof/>
              </w:rPr>
              <w:t>2.5 Solid waste</w:t>
            </w:r>
            <w:r w:rsidR="00071979">
              <w:rPr>
                <w:noProof/>
                <w:webHidden/>
              </w:rPr>
              <w:tab/>
            </w:r>
            <w:r w:rsidR="00071979">
              <w:rPr>
                <w:noProof/>
                <w:webHidden/>
              </w:rPr>
              <w:fldChar w:fldCharType="begin"/>
            </w:r>
            <w:r w:rsidR="00071979">
              <w:rPr>
                <w:noProof/>
                <w:webHidden/>
              </w:rPr>
              <w:instrText xml:space="preserve"> PAGEREF _Toc39826929 \h </w:instrText>
            </w:r>
            <w:r w:rsidR="00071979">
              <w:rPr>
                <w:noProof/>
                <w:webHidden/>
              </w:rPr>
            </w:r>
            <w:r w:rsidR="00071979">
              <w:rPr>
                <w:noProof/>
                <w:webHidden/>
              </w:rPr>
              <w:fldChar w:fldCharType="separate"/>
            </w:r>
            <w:r w:rsidR="00071979">
              <w:rPr>
                <w:noProof/>
                <w:webHidden/>
              </w:rPr>
              <w:t>11</w:t>
            </w:r>
            <w:r w:rsidR="00071979">
              <w:rPr>
                <w:noProof/>
                <w:webHidden/>
              </w:rPr>
              <w:fldChar w:fldCharType="end"/>
            </w:r>
          </w:hyperlink>
        </w:p>
        <w:p w14:paraId="6C74A6F2" w14:textId="1CE3D796" w:rsidR="00071979" w:rsidRDefault="00610EEF">
          <w:pPr>
            <w:pStyle w:val="TOC1"/>
            <w:tabs>
              <w:tab w:val="right" w:leader="dot" w:pos="9350"/>
            </w:tabs>
            <w:rPr>
              <w:rFonts w:asciiTheme="minorHAnsi" w:eastAsiaTheme="minorEastAsia" w:hAnsiTheme="minorHAnsi" w:cstheme="minorBidi"/>
              <w:noProof/>
              <w:lang w:val="en-US"/>
            </w:rPr>
          </w:pPr>
          <w:hyperlink w:anchor="_Toc39826930" w:history="1">
            <w:r w:rsidR="00071979" w:rsidRPr="00481546">
              <w:rPr>
                <w:rStyle w:val="Hyperlink"/>
                <w:noProof/>
              </w:rPr>
              <w:t>Chapter 3: Results</w:t>
            </w:r>
            <w:r w:rsidR="00071979">
              <w:rPr>
                <w:noProof/>
                <w:webHidden/>
              </w:rPr>
              <w:tab/>
            </w:r>
            <w:r w:rsidR="00071979">
              <w:rPr>
                <w:noProof/>
                <w:webHidden/>
              </w:rPr>
              <w:fldChar w:fldCharType="begin"/>
            </w:r>
            <w:r w:rsidR="00071979">
              <w:rPr>
                <w:noProof/>
                <w:webHidden/>
              </w:rPr>
              <w:instrText xml:space="preserve"> PAGEREF _Toc39826930 \h </w:instrText>
            </w:r>
            <w:r w:rsidR="00071979">
              <w:rPr>
                <w:noProof/>
                <w:webHidden/>
              </w:rPr>
            </w:r>
            <w:r w:rsidR="00071979">
              <w:rPr>
                <w:noProof/>
                <w:webHidden/>
              </w:rPr>
              <w:fldChar w:fldCharType="separate"/>
            </w:r>
            <w:r w:rsidR="00071979">
              <w:rPr>
                <w:noProof/>
                <w:webHidden/>
              </w:rPr>
              <w:t>12</w:t>
            </w:r>
            <w:r w:rsidR="00071979">
              <w:rPr>
                <w:noProof/>
                <w:webHidden/>
              </w:rPr>
              <w:fldChar w:fldCharType="end"/>
            </w:r>
          </w:hyperlink>
        </w:p>
        <w:p w14:paraId="523572F2" w14:textId="7A665CDC" w:rsidR="00071979" w:rsidRDefault="00610EEF">
          <w:pPr>
            <w:pStyle w:val="TOC2"/>
            <w:tabs>
              <w:tab w:val="right" w:leader="dot" w:pos="9350"/>
            </w:tabs>
            <w:rPr>
              <w:rFonts w:asciiTheme="minorHAnsi" w:eastAsiaTheme="minorEastAsia" w:hAnsiTheme="minorHAnsi" w:cstheme="minorBidi"/>
              <w:noProof/>
              <w:lang w:val="en-US"/>
            </w:rPr>
          </w:pPr>
          <w:hyperlink w:anchor="_Toc39826931" w:history="1">
            <w:r w:rsidR="00071979" w:rsidRPr="00481546">
              <w:rPr>
                <w:rStyle w:val="Hyperlink"/>
                <w:noProof/>
              </w:rPr>
              <w:t>3.1 Community GHG Inventory</w:t>
            </w:r>
            <w:r w:rsidR="00071979">
              <w:rPr>
                <w:noProof/>
                <w:webHidden/>
              </w:rPr>
              <w:tab/>
            </w:r>
            <w:r w:rsidR="00071979">
              <w:rPr>
                <w:noProof/>
                <w:webHidden/>
              </w:rPr>
              <w:fldChar w:fldCharType="begin"/>
            </w:r>
            <w:r w:rsidR="00071979">
              <w:rPr>
                <w:noProof/>
                <w:webHidden/>
              </w:rPr>
              <w:instrText xml:space="preserve"> PAGEREF _Toc39826931 \h </w:instrText>
            </w:r>
            <w:r w:rsidR="00071979">
              <w:rPr>
                <w:noProof/>
                <w:webHidden/>
              </w:rPr>
            </w:r>
            <w:r w:rsidR="00071979">
              <w:rPr>
                <w:noProof/>
                <w:webHidden/>
              </w:rPr>
              <w:fldChar w:fldCharType="separate"/>
            </w:r>
            <w:r w:rsidR="00071979">
              <w:rPr>
                <w:noProof/>
                <w:webHidden/>
              </w:rPr>
              <w:t>12</w:t>
            </w:r>
            <w:r w:rsidR="00071979">
              <w:rPr>
                <w:noProof/>
                <w:webHidden/>
              </w:rPr>
              <w:fldChar w:fldCharType="end"/>
            </w:r>
          </w:hyperlink>
        </w:p>
        <w:p w14:paraId="67879071" w14:textId="589C241A" w:rsidR="00071979" w:rsidRDefault="00610EEF">
          <w:pPr>
            <w:pStyle w:val="TOC2"/>
            <w:tabs>
              <w:tab w:val="right" w:leader="dot" w:pos="9350"/>
            </w:tabs>
            <w:rPr>
              <w:rFonts w:asciiTheme="minorHAnsi" w:eastAsiaTheme="minorEastAsia" w:hAnsiTheme="minorHAnsi" w:cstheme="minorBidi"/>
              <w:noProof/>
              <w:lang w:val="en-US"/>
            </w:rPr>
          </w:pPr>
          <w:hyperlink w:anchor="_Toc39826932" w:history="1">
            <w:r w:rsidR="00071979" w:rsidRPr="00481546">
              <w:rPr>
                <w:rStyle w:val="Hyperlink"/>
                <w:noProof/>
              </w:rPr>
              <w:t>3.2 Residential Sector</w:t>
            </w:r>
            <w:r w:rsidR="00071979">
              <w:rPr>
                <w:noProof/>
                <w:webHidden/>
              </w:rPr>
              <w:tab/>
            </w:r>
            <w:r w:rsidR="00071979">
              <w:rPr>
                <w:noProof/>
                <w:webHidden/>
              </w:rPr>
              <w:fldChar w:fldCharType="begin"/>
            </w:r>
            <w:r w:rsidR="00071979">
              <w:rPr>
                <w:noProof/>
                <w:webHidden/>
              </w:rPr>
              <w:instrText xml:space="preserve"> PAGEREF _Toc39826932 \h </w:instrText>
            </w:r>
            <w:r w:rsidR="00071979">
              <w:rPr>
                <w:noProof/>
                <w:webHidden/>
              </w:rPr>
            </w:r>
            <w:r w:rsidR="00071979">
              <w:rPr>
                <w:noProof/>
                <w:webHidden/>
              </w:rPr>
              <w:fldChar w:fldCharType="separate"/>
            </w:r>
            <w:r w:rsidR="00071979">
              <w:rPr>
                <w:noProof/>
                <w:webHidden/>
              </w:rPr>
              <w:t>14</w:t>
            </w:r>
            <w:r w:rsidR="00071979">
              <w:rPr>
                <w:noProof/>
                <w:webHidden/>
              </w:rPr>
              <w:fldChar w:fldCharType="end"/>
            </w:r>
          </w:hyperlink>
        </w:p>
        <w:p w14:paraId="56BD39C8" w14:textId="6173E47E" w:rsidR="00071979" w:rsidRDefault="00610EEF">
          <w:pPr>
            <w:pStyle w:val="TOC2"/>
            <w:tabs>
              <w:tab w:val="right" w:leader="dot" w:pos="9350"/>
            </w:tabs>
            <w:rPr>
              <w:rFonts w:asciiTheme="minorHAnsi" w:eastAsiaTheme="minorEastAsia" w:hAnsiTheme="minorHAnsi" w:cstheme="minorBidi"/>
              <w:noProof/>
              <w:lang w:val="en-US"/>
            </w:rPr>
          </w:pPr>
          <w:hyperlink w:anchor="_Toc39826933" w:history="1">
            <w:r w:rsidR="00071979" w:rsidRPr="00481546">
              <w:rPr>
                <w:rStyle w:val="Hyperlink"/>
                <w:noProof/>
              </w:rPr>
              <w:t>3.3 Commercial/Industrial Sector</w:t>
            </w:r>
            <w:r w:rsidR="00071979">
              <w:rPr>
                <w:noProof/>
                <w:webHidden/>
              </w:rPr>
              <w:tab/>
            </w:r>
            <w:r w:rsidR="00071979">
              <w:rPr>
                <w:noProof/>
                <w:webHidden/>
              </w:rPr>
              <w:fldChar w:fldCharType="begin"/>
            </w:r>
            <w:r w:rsidR="00071979">
              <w:rPr>
                <w:noProof/>
                <w:webHidden/>
              </w:rPr>
              <w:instrText xml:space="preserve"> PAGEREF _Toc39826933 \h </w:instrText>
            </w:r>
            <w:r w:rsidR="00071979">
              <w:rPr>
                <w:noProof/>
                <w:webHidden/>
              </w:rPr>
            </w:r>
            <w:r w:rsidR="00071979">
              <w:rPr>
                <w:noProof/>
                <w:webHidden/>
              </w:rPr>
              <w:fldChar w:fldCharType="separate"/>
            </w:r>
            <w:r w:rsidR="00071979">
              <w:rPr>
                <w:noProof/>
                <w:webHidden/>
              </w:rPr>
              <w:t>14</w:t>
            </w:r>
            <w:r w:rsidR="00071979">
              <w:rPr>
                <w:noProof/>
                <w:webHidden/>
              </w:rPr>
              <w:fldChar w:fldCharType="end"/>
            </w:r>
          </w:hyperlink>
        </w:p>
        <w:p w14:paraId="345E9BBA" w14:textId="1C9C01EA" w:rsidR="00071979" w:rsidRDefault="00610EEF">
          <w:pPr>
            <w:pStyle w:val="TOC2"/>
            <w:tabs>
              <w:tab w:val="right" w:leader="dot" w:pos="9350"/>
            </w:tabs>
            <w:rPr>
              <w:rFonts w:asciiTheme="minorHAnsi" w:eastAsiaTheme="minorEastAsia" w:hAnsiTheme="minorHAnsi" w:cstheme="minorBidi"/>
              <w:noProof/>
              <w:lang w:val="en-US"/>
            </w:rPr>
          </w:pPr>
          <w:hyperlink w:anchor="_Toc39826934" w:history="1">
            <w:r w:rsidR="00071979" w:rsidRPr="00481546">
              <w:rPr>
                <w:rStyle w:val="Hyperlink"/>
                <w:noProof/>
              </w:rPr>
              <w:t>3.4 Transportation</w:t>
            </w:r>
            <w:r w:rsidR="00071979">
              <w:rPr>
                <w:noProof/>
                <w:webHidden/>
              </w:rPr>
              <w:tab/>
            </w:r>
            <w:r w:rsidR="00071979">
              <w:rPr>
                <w:noProof/>
                <w:webHidden/>
              </w:rPr>
              <w:fldChar w:fldCharType="begin"/>
            </w:r>
            <w:r w:rsidR="00071979">
              <w:rPr>
                <w:noProof/>
                <w:webHidden/>
              </w:rPr>
              <w:instrText xml:space="preserve"> PAGEREF _Toc39826934 \h </w:instrText>
            </w:r>
            <w:r w:rsidR="00071979">
              <w:rPr>
                <w:noProof/>
                <w:webHidden/>
              </w:rPr>
            </w:r>
            <w:r w:rsidR="00071979">
              <w:rPr>
                <w:noProof/>
                <w:webHidden/>
              </w:rPr>
              <w:fldChar w:fldCharType="separate"/>
            </w:r>
            <w:r w:rsidR="00071979">
              <w:rPr>
                <w:noProof/>
                <w:webHidden/>
              </w:rPr>
              <w:t>15</w:t>
            </w:r>
            <w:r w:rsidR="00071979">
              <w:rPr>
                <w:noProof/>
                <w:webHidden/>
              </w:rPr>
              <w:fldChar w:fldCharType="end"/>
            </w:r>
          </w:hyperlink>
        </w:p>
        <w:p w14:paraId="2C8901E4" w14:textId="1049FB60" w:rsidR="00071979" w:rsidRDefault="00610EEF">
          <w:pPr>
            <w:pStyle w:val="TOC2"/>
            <w:tabs>
              <w:tab w:val="right" w:leader="dot" w:pos="9350"/>
            </w:tabs>
            <w:rPr>
              <w:rFonts w:asciiTheme="minorHAnsi" w:eastAsiaTheme="minorEastAsia" w:hAnsiTheme="minorHAnsi" w:cstheme="minorBidi"/>
              <w:noProof/>
              <w:lang w:val="en-US"/>
            </w:rPr>
          </w:pPr>
          <w:hyperlink w:anchor="_Toc39826935" w:history="1">
            <w:r w:rsidR="00071979" w:rsidRPr="00481546">
              <w:rPr>
                <w:rStyle w:val="Hyperlink"/>
                <w:noProof/>
              </w:rPr>
              <w:t>3.5 Solid Waste</w:t>
            </w:r>
            <w:r w:rsidR="00071979">
              <w:rPr>
                <w:noProof/>
                <w:webHidden/>
              </w:rPr>
              <w:tab/>
            </w:r>
            <w:r w:rsidR="00071979">
              <w:rPr>
                <w:noProof/>
                <w:webHidden/>
              </w:rPr>
              <w:fldChar w:fldCharType="begin"/>
            </w:r>
            <w:r w:rsidR="00071979">
              <w:rPr>
                <w:noProof/>
                <w:webHidden/>
              </w:rPr>
              <w:instrText xml:space="preserve"> PAGEREF _Toc39826935 \h </w:instrText>
            </w:r>
            <w:r w:rsidR="00071979">
              <w:rPr>
                <w:noProof/>
                <w:webHidden/>
              </w:rPr>
            </w:r>
            <w:r w:rsidR="00071979">
              <w:rPr>
                <w:noProof/>
                <w:webHidden/>
              </w:rPr>
              <w:fldChar w:fldCharType="separate"/>
            </w:r>
            <w:r w:rsidR="00071979">
              <w:rPr>
                <w:noProof/>
                <w:webHidden/>
              </w:rPr>
              <w:t>16</w:t>
            </w:r>
            <w:r w:rsidR="00071979">
              <w:rPr>
                <w:noProof/>
                <w:webHidden/>
              </w:rPr>
              <w:fldChar w:fldCharType="end"/>
            </w:r>
          </w:hyperlink>
        </w:p>
        <w:p w14:paraId="1F1A6112" w14:textId="36FDCCC2" w:rsidR="00071979" w:rsidRDefault="00610EEF">
          <w:pPr>
            <w:pStyle w:val="TOC2"/>
            <w:tabs>
              <w:tab w:val="right" w:leader="dot" w:pos="9350"/>
            </w:tabs>
            <w:rPr>
              <w:rFonts w:asciiTheme="minorHAnsi" w:eastAsiaTheme="minorEastAsia" w:hAnsiTheme="minorHAnsi" w:cstheme="minorBidi"/>
              <w:noProof/>
              <w:lang w:val="en-US"/>
            </w:rPr>
          </w:pPr>
          <w:hyperlink w:anchor="_Toc39826936" w:history="1">
            <w:r w:rsidR="00071979" w:rsidRPr="00481546">
              <w:rPr>
                <w:rStyle w:val="Hyperlink"/>
                <w:noProof/>
              </w:rPr>
              <w:t>3.6 Annual Per Capita GHG Impact</w:t>
            </w:r>
            <w:r w:rsidR="00071979">
              <w:rPr>
                <w:noProof/>
                <w:webHidden/>
              </w:rPr>
              <w:tab/>
            </w:r>
            <w:r w:rsidR="00071979">
              <w:rPr>
                <w:noProof/>
                <w:webHidden/>
              </w:rPr>
              <w:fldChar w:fldCharType="begin"/>
            </w:r>
            <w:r w:rsidR="00071979">
              <w:rPr>
                <w:noProof/>
                <w:webHidden/>
              </w:rPr>
              <w:instrText xml:space="preserve"> PAGEREF _Toc39826936 \h </w:instrText>
            </w:r>
            <w:r w:rsidR="00071979">
              <w:rPr>
                <w:noProof/>
                <w:webHidden/>
              </w:rPr>
            </w:r>
            <w:r w:rsidR="00071979">
              <w:rPr>
                <w:noProof/>
                <w:webHidden/>
              </w:rPr>
              <w:fldChar w:fldCharType="separate"/>
            </w:r>
            <w:r w:rsidR="00071979">
              <w:rPr>
                <w:noProof/>
                <w:webHidden/>
              </w:rPr>
              <w:t>17</w:t>
            </w:r>
            <w:r w:rsidR="00071979">
              <w:rPr>
                <w:noProof/>
                <w:webHidden/>
              </w:rPr>
              <w:fldChar w:fldCharType="end"/>
            </w:r>
          </w:hyperlink>
        </w:p>
        <w:p w14:paraId="520AAFD4" w14:textId="28110EDF" w:rsidR="00071979" w:rsidRDefault="00610EEF">
          <w:pPr>
            <w:pStyle w:val="TOC1"/>
            <w:tabs>
              <w:tab w:val="right" w:leader="dot" w:pos="9350"/>
            </w:tabs>
            <w:rPr>
              <w:rFonts w:asciiTheme="minorHAnsi" w:eastAsiaTheme="minorEastAsia" w:hAnsiTheme="minorHAnsi" w:cstheme="minorBidi"/>
              <w:noProof/>
              <w:lang w:val="en-US"/>
            </w:rPr>
          </w:pPr>
          <w:hyperlink w:anchor="_Toc39826937" w:history="1">
            <w:r w:rsidR="00071979" w:rsidRPr="00481546">
              <w:rPr>
                <w:rStyle w:val="Hyperlink"/>
                <w:noProof/>
              </w:rPr>
              <w:t>Chapter 4: Analysis and Recommendations</w:t>
            </w:r>
            <w:r w:rsidR="00071979">
              <w:rPr>
                <w:noProof/>
                <w:webHidden/>
              </w:rPr>
              <w:tab/>
            </w:r>
            <w:r w:rsidR="00071979">
              <w:rPr>
                <w:noProof/>
                <w:webHidden/>
              </w:rPr>
              <w:fldChar w:fldCharType="begin"/>
            </w:r>
            <w:r w:rsidR="00071979">
              <w:rPr>
                <w:noProof/>
                <w:webHidden/>
              </w:rPr>
              <w:instrText xml:space="preserve"> PAGEREF _Toc39826937 \h </w:instrText>
            </w:r>
            <w:r w:rsidR="00071979">
              <w:rPr>
                <w:noProof/>
                <w:webHidden/>
              </w:rPr>
            </w:r>
            <w:r w:rsidR="00071979">
              <w:rPr>
                <w:noProof/>
                <w:webHidden/>
              </w:rPr>
              <w:fldChar w:fldCharType="separate"/>
            </w:r>
            <w:r w:rsidR="00071979">
              <w:rPr>
                <w:noProof/>
                <w:webHidden/>
              </w:rPr>
              <w:t>18</w:t>
            </w:r>
            <w:r w:rsidR="00071979">
              <w:rPr>
                <w:noProof/>
                <w:webHidden/>
              </w:rPr>
              <w:fldChar w:fldCharType="end"/>
            </w:r>
          </w:hyperlink>
        </w:p>
        <w:p w14:paraId="7F082C02" w14:textId="5BE8BA6D" w:rsidR="00071979" w:rsidRDefault="00610EEF">
          <w:pPr>
            <w:pStyle w:val="TOC2"/>
            <w:tabs>
              <w:tab w:val="right" w:leader="dot" w:pos="9350"/>
            </w:tabs>
            <w:rPr>
              <w:rFonts w:asciiTheme="minorHAnsi" w:eastAsiaTheme="minorEastAsia" w:hAnsiTheme="minorHAnsi" w:cstheme="minorBidi"/>
              <w:noProof/>
              <w:lang w:val="en-US"/>
            </w:rPr>
          </w:pPr>
          <w:hyperlink w:anchor="_Toc39826938" w:history="1">
            <w:r w:rsidR="00071979" w:rsidRPr="00481546">
              <w:rPr>
                <w:rStyle w:val="Hyperlink"/>
                <w:noProof/>
              </w:rPr>
              <w:t>4.1 Energy - Electricity</w:t>
            </w:r>
            <w:r w:rsidR="00071979">
              <w:rPr>
                <w:noProof/>
                <w:webHidden/>
              </w:rPr>
              <w:tab/>
            </w:r>
            <w:r w:rsidR="00071979">
              <w:rPr>
                <w:noProof/>
                <w:webHidden/>
              </w:rPr>
              <w:fldChar w:fldCharType="begin"/>
            </w:r>
            <w:r w:rsidR="00071979">
              <w:rPr>
                <w:noProof/>
                <w:webHidden/>
              </w:rPr>
              <w:instrText xml:space="preserve"> PAGEREF _Toc39826938 \h </w:instrText>
            </w:r>
            <w:r w:rsidR="00071979">
              <w:rPr>
                <w:noProof/>
                <w:webHidden/>
              </w:rPr>
            </w:r>
            <w:r w:rsidR="00071979">
              <w:rPr>
                <w:noProof/>
                <w:webHidden/>
              </w:rPr>
              <w:fldChar w:fldCharType="separate"/>
            </w:r>
            <w:r w:rsidR="00071979">
              <w:rPr>
                <w:noProof/>
                <w:webHidden/>
              </w:rPr>
              <w:t>18</w:t>
            </w:r>
            <w:r w:rsidR="00071979">
              <w:rPr>
                <w:noProof/>
                <w:webHidden/>
              </w:rPr>
              <w:fldChar w:fldCharType="end"/>
            </w:r>
          </w:hyperlink>
        </w:p>
        <w:p w14:paraId="778D3A51" w14:textId="324012CC" w:rsidR="00071979" w:rsidRDefault="00610EEF">
          <w:pPr>
            <w:pStyle w:val="TOC2"/>
            <w:tabs>
              <w:tab w:val="right" w:leader="dot" w:pos="9350"/>
            </w:tabs>
            <w:rPr>
              <w:rFonts w:asciiTheme="minorHAnsi" w:eastAsiaTheme="minorEastAsia" w:hAnsiTheme="minorHAnsi" w:cstheme="minorBidi"/>
              <w:noProof/>
              <w:lang w:val="en-US"/>
            </w:rPr>
          </w:pPr>
          <w:hyperlink w:anchor="_Toc39826939" w:history="1">
            <w:r w:rsidR="00071979" w:rsidRPr="00481546">
              <w:rPr>
                <w:rStyle w:val="Hyperlink"/>
                <w:noProof/>
              </w:rPr>
              <w:t>4.2 Energy - Natural Gas</w:t>
            </w:r>
            <w:r w:rsidR="00071979">
              <w:rPr>
                <w:noProof/>
                <w:webHidden/>
              </w:rPr>
              <w:tab/>
            </w:r>
            <w:r w:rsidR="00071979">
              <w:rPr>
                <w:noProof/>
                <w:webHidden/>
              </w:rPr>
              <w:fldChar w:fldCharType="begin"/>
            </w:r>
            <w:r w:rsidR="00071979">
              <w:rPr>
                <w:noProof/>
                <w:webHidden/>
              </w:rPr>
              <w:instrText xml:space="preserve"> PAGEREF _Toc39826939 \h </w:instrText>
            </w:r>
            <w:r w:rsidR="00071979">
              <w:rPr>
                <w:noProof/>
                <w:webHidden/>
              </w:rPr>
            </w:r>
            <w:r w:rsidR="00071979">
              <w:rPr>
                <w:noProof/>
                <w:webHidden/>
              </w:rPr>
              <w:fldChar w:fldCharType="separate"/>
            </w:r>
            <w:r w:rsidR="00071979">
              <w:rPr>
                <w:noProof/>
                <w:webHidden/>
              </w:rPr>
              <w:t>18</w:t>
            </w:r>
            <w:r w:rsidR="00071979">
              <w:rPr>
                <w:noProof/>
                <w:webHidden/>
              </w:rPr>
              <w:fldChar w:fldCharType="end"/>
            </w:r>
          </w:hyperlink>
        </w:p>
        <w:p w14:paraId="00031D5B" w14:textId="748F1AEB" w:rsidR="00071979" w:rsidRDefault="00610EEF">
          <w:pPr>
            <w:pStyle w:val="TOC2"/>
            <w:tabs>
              <w:tab w:val="right" w:leader="dot" w:pos="9350"/>
            </w:tabs>
            <w:rPr>
              <w:rFonts w:asciiTheme="minorHAnsi" w:eastAsiaTheme="minorEastAsia" w:hAnsiTheme="minorHAnsi" w:cstheme="minorBidi"/>
              <w:noProof/>
              <w:lang w:val="en-US"/>
            </w:rPr>
          </w:pPr>
          <w:hyperlink w:anchor="_Toc39826940" w:history="1">
            <w:r w:rsidR="00071979" w:rsidRPr="00481546">
              <w:rPr>
                <w:rStyle w:val="Hyperlink"/>
                <w:noProof/>
              </w:rPr>
              <w:t>4.3 Transportation</w:t>
            </w:r>
            <w:r w:rsidR="00071979">
              <w:rPr>
                <w:noProof/>
                <w:webHidden/>
              </w:rPr>
              <w:tab/>
            </w:r>
            <w:r w:rsidR="00071979">
              <w:rPr>
                <w:noProof/>
                <w:webHidden/>
              </w:rPr>
              <w:fldChar w:fldCharType="begin"/>
            </w:r>
            <w:r w:rsidR="00071979">
              <w:rPr>
                <w:noProof/>
                <w:webHidden/>
              </w:rPr>
              <w:instrText xml:space="preserve"> PAGEREF _Toc39826940 \h </w:instrText>
            </w:r>
            <w:r w:rsidR="00071979">
              <w:rPr>
                <w:noProof/>
                <w:webHidden/>
              </w:rPr>
            </w:r>
            <w:r w:rsidR="00071979">
              <w:rPr>
                <w:noProof/>
                <w:webHidden/>
              </w:rPr>
              <w:fldChar w:fldCharType="separate"/>
            </w:r>
            <w:r w:rsidR="00071979">
              <w:rPr>
                <w:noProof/>
                <w:webHidden/>
              </w:rPr>
              <w:t>19</w:t>
            </w:r>
            <w:r w:rsidR="00071979">
              <w:rPr>
                <w:noProof/>
                <w:webHidden/>
              </w:rPr>
              <w:fldChar w:fldCharType="end"/>
            </w:r>
          </w:hyperlink>
        </w:p>
        <w:p w14:paraId="1289DD24" w14:textId="2412610A" w:rsidR="00071979" w:rsidRDefault="00610EEF">
          <w:pPr>
            <w:pStyle w:val="TOC2"/>
            <w:tabs>
              <w:tab w:val="right" w:leader="dot" w:pos="9350"/>
            </w:tabs>
            <w:rPr>
              <w:rFonts w:asciiTheme="minorHAnsi" w:eastAsiaTheme="minorEastAsia" w:hAnsiTheme="minorHAnsi" w:cstheme="minorBidi"/>
              <w:noProof/>
              <w:lang w:val="en-US"/>
            </w:rPr>
          </w:pPr>
          <w:hyperlink w:anchor="_Toc39826941" w:history="1">
            <w:r w:rsidR="00071979" w:rsidRPr="00481546">
              <w:rPr>
                <w:rStyle w:val="Hyperlink"/>
                <w:noProof/>
              </w:rPr>
              <w:t>4.4 Solid Waste</w:t>
            </w:r>
            <w:r w:rsidR="00071979">
              <w:rPr>
                <w:noProof/>
                <w:webHidden/>
              </w:rPr>
              <w:tab/>
            </w:r>
            <w:r w:rsidR="00071979">
              <w:rPr>
                <w:noProof/>
                <w:webHidden/>
              </w:rPr>
              <w:fldChar w:fldCharType="begin"/>
            </w:r>
            <w:r w:rsidR="00071979">
              <w:rPr>
                <w:noProof/>
                <w:webHidden/>
              </w:rPr>
              <w:instrText xml:space="preserve"> PAGEREF _Toc39826941 \h </w:instrText>
            </w:r>
            <w:r w:rsidR="00071979">
              <w:rPr>
                <w:noProof/>
                <w:webHidden/>
              </w:rPr>
            </w:r>
            <w:r w:rsidR="00071979">
              <w:rPr>
                <w:noProof/>
                <w:webHidden/>
              </w:rPr>
              <w:fldChar w:fldCharType="separate"/>
            </w:r>
            <w:r w:rsidR="00071979">
              <w:rPr>
                <w:noProof/>
                <w:webHidden/>
              </w:rPr>
              <w:t>20</w:t>
            </w:r>
            <w:r w:rsidR="00071979">
              <w:rPr>
                <w:noProof/>
                <w:webHidden/>
              </w:rPr>
              <w:fldChar w:fldCharType="end"/>
            </w:r>
          </w:hyperlink>
        </w:p>
        <w:p w14:paraId="4DF56095" w14:textId="1B9BB1D8" w:rsidR="00071979" w:rsidRDefault="00610EEF">
          <w:pPr>
            <w:pStyle w:val="TOC1"/>
            <w:tabs>
              <w:tab w:val="right" w:leader="dot" w:pos="9350"/>
            </w:tabs>
            <w:rPr>
              <w:rFonts w:asciiTheme="minorHAnsi" w:eastAsiaTheme="minorEastAsia" w:hAnsiTheme="minorHAnsi" w:cstheme="minorBidi"/>
              <w:noProof/>
              <w:lang w:val="en-US"/>
            </w:rPr>
          </w:pPr>
          <w:hyperlink w:anchor="_Toc39826942" w:history="1">
            <w:r w:rsidR="00071979" w:rsidRPr="00481546">
              <w:rPr>
                <w:rStyle w:val="Hyperlink"/>
                <w:noProof/>
              </w:rPr>
              <w:t>Chapter 5: Conclusion</w:t>
            </w:r>
            <w:r w:rsidR="00071979">
              <w:rPr>
                <w:noProof/>
                <w:webHidden/>
              </w:rPr>
              <w:tab/>
            </w:r>
            <w:r w:rsidR="00071979">
              <w:rPr>
                <w:noProof/>
                <w:webHidden/>
              </w:rPr>
              <w:fldChar w:fldCharType="begin"/>
            </w:r>
            <w:r w:rsidR="00071979">
              <w:rPr>
                <w:noProof/>
                <w:webHidden/>
              </w:rPr>
              <w:instrText xml:space="preserve"> PAGEREF _Toc39826942 \h </w:instrText>
            </w:r>
            <w:r w:rsidR="00071979">
              <w:rPr>
                <w:noProof/>
                <w:webHidden/>
              </w:rPr>
            </w:r>
            <w:r w:rsidR="00071979">
              <w:rPr>
                <w:noProof/>
                <w:webHidden/>
              </w:rPr>
              <w:fldChar w:fldCharType="separate"/>
            </w:r>
            <w:r w:rsidR="00071979">
              <w:rPr>
                <w:noProof/>
                <w:webHidden/>
              </w:rPr>
              <w:t>20</w:t>
            </w:r>
            <w:r w:rsidR="00071979">
              <w:rPr>
                <w:noProof/>
                <w:webHidden/>
              </w:rPr>
              <w:fldChar w:fldCharType="end"/>
            </w:r>
          </w:hyperlink>
        </w:p>
        <w:p w14:paraId="598705C3" w14:textId="1D5B4534" w:rsidR="00071979" w:rsidRDefault="00610EEF">
          <w:pPr>
            <w:pStyle w:val="TOC1"/>
            <w:tabs>
              <w:tab w:val="right" w:leader="dot" w:pos="9350"/>
            </w:tabs>
            <w:rPr>
              <w:rFonts w:asciiTheme="minorHAnsi" w:eastAsiaTheme="minorEastAsia" w:hAnsiTheme="minorHAnsi" w:cstheme="minorBidi"/>
              <w:noProof/>
              <w:lang w:val="en-US"/>
            </w:rPr>
          </w:pPr>
          <w:hyperlink w:anchor="_Toc39826943" w:history="1">
            <w:r w:rsidR="00071979" w:rsidRPr="00481546">
              <w:rPr>
                <w:rStyle w:val="Hyperlink"/>
                <w:noProof/>
              </w:rPr>
              <w:t>Appendices</w:t>
            </w:r>
            <w:r w:rsidR="00071979">
              <w:rPr>
                <w:noProof/>
                <w:webHidden/>
              </w:rPr>
              <w:tab/>
            </w:r>
            <w:r w:rsidR="00071979">
              <w:rPr>
                <w:noProof/>
                <w:webHidden/>
              </w:rPr>
              <w:fldChar w:fldCharType="begin"/>
            </w:r>
            <w:r w:rsidR="00071979">
              <w:rPr>
                <w:noProof/>
                <w:webHidden/>
              </w:rPr>
              <w:instrText xml:space="preserve"> PAGEREF _Toc39826943 \h </w:instrText>
            </w:r>
            <w:r w:rsidR="00071979">
              <w:rPr>
                <w:noProof/>
                <w:webHidden/>
              </w:rPr>
            </w:r>
            <w:r w:rsidR="00071979">
              <w:rPr>
                <w:noProof/>
                <w:webHidden/>
              </w:rPr>
              <w:fldChar w:fldCharType="separate"/>
            </w:r>
            <w:r w:rsidR="00071979">
              <w:rPr>
                <w:noProof/>
                <w:webHidden/>
              </w:rPr>
              <w:t>21</w:t>
            </w:r>
            <w:r w:rsidR="00071979">
              <w:rPr>
                <w:noProof/>
                <w:webHidden/>
              </w:rPr>
              <w:fldChar w:fldCharType="end"/>
            </w:r>
          </w:hyperlink>
        </w:p>
        <w:p w14:paraId="2BF4F2E4" w14:textId="0458C77C" w:rsidR="00071979" w:rsidRDefault="00610EEF">
          <w:pPr>
            <w:pStyle w:val="TOC2"/>
            <w:tabs>
              <w:tab w:val="right" w:leader="dot" w:pos="9350"/>
            </w:tabs>
            <w:rPr>
              <w:rFonts w:asciiTheme="minorHAnsi" w:eastAsiaTheme="minorEastAsia" w:hAnsiTheme="minorHAnsi" w:cstheme="minorBidi"/>
              <w:noProof/>
              <w:lang w:val="en-US"/>
            </w:rPr>
          </w:pPr>
          <w:hyperlink w:anchor="_Toc39826944" w:history="1">
            <w:r w:rsidR="00071979" w:rsidRPr="00481546">
              <w:rPr>
                <w:rStyle w:val="Hyperlink"/>
                <w:noProof/>
              </w:rPr>
              <w:t>Appendix A:  Energy - Electricity</w:t>
            </w:r>
            <w:r w:rsidR="00071979">
              <w:rPr>
                <w:noProof/>
                <w:webHidden/>
              </w:rPr>
              <w:tab/>
            </w:r>
            <w:r w:rsidR="00071979">
              <w:rPr>
                <w:noProof/>
                <w:webHidden/>
              </w:rPr>
              <w:fldChar w:fldCharType="begin"/>
            </w:r>
            <w:r w:rsidR="00071979">
              <w:rPr>
                <w:noProof/>
                <w:webHidden/>
              </w:rPr>
              <w:instrText xml:space="preserve"> PAGEREF _Toc39826944 \h </w:instrText>
            </w:r>
            <w:r w:rsidR="00071979">
              <w:rPr>
                <w:noProof/>
                <w:webHidden/>
              </w:rPr>
            </w:r>
            <w:r w:rsidR="00071979">
              <w:rPr>
                <w:noProof/>
                <w:webHidden/>
              </w:rPr>
              <w:fldChar w:fldCharType="separate"/>
            </w:r>
            <w:r w:rsidR="00071979">
              <w:rPr>
                <w:noProof/>
                <w:webHidden/>
              </w:rPr>
              <w:t>21</w:t>
            </w:r>
            <w:r w:rsidR="00071979">
              <w:rPr>
                <w:noProof/>
                <w:webHidden/>
              </w:rPr>
              <w:fldChar w:fldCharType="end"/>
            </w:r>
          </w:hyperlink>
        </w:p>
        <w:p w14:paraId="6F16E1A1" w14:textId="42FFF1A4" w:rsidR="00071979" w:rsidRDefault="00610EEF">
          <w:pPr>
            <w:pStyle w:val="TOC2"/>
            <w:tabs>
              <w:tab w:val="right" w:leader="dot" w:pos="9350"/>
            </w:tabs>
            <w:rPr>
              <w:rFonts w:asciiTheme="minorHAnsi" w:eastAsiaTheme="minorEastAsia" w:hAnsiTheme="minorHAnsi" w:cstheme="minorBidi"/>
              <w:noProof/>
              <w:lang w:val="en-US"/>
            </w:rPr>
          </w:pPr>
          <w:hyperlink w:anchor="_Toc39826945" w:history="1">
            <w:r w:rsidR="00071979" w:rsidRPr="00481546">
              <w:rPr>
                <w:rStyle w:val="Hyperlink"/>
                <w:noProof/>
              </w:rPr>
              <w:t>Appendix B: Energy - Natural Gas</w:t>
            </w:r>
            <w:r w:rsidR="00071979">
              <w:rPr>
                <w:noProof/>
                <w:webHidden/>
              </w:rPr>
              <w:tab/>
            </w:r>
            <w:r w:rsidR="00071979">
              <w:rPr>
                <w:noProof/>
                <w:webHidden/>
              </w:rPr>
              <w:fldChar w:fldCharType="begin"/>
            </w:r>
            <w:r w:rsidR="00071979">
              <w:rPr>
                <w:noProof/>
                <w:webHidden/>
              </w:rPr>
              <w:instrText xml:space="preserve"> PAGEREF _Toc39826945 \h </w:instrText>
            </w:r>
            <w:r w:rsidR="00071979">
              <w:rPr>
                <w:noProof/>
                <w:webHidden/>
              </w:rPr>
            </w:r>
            <w:r w:rsidR="00071979">
              <w:rPr>
                <w:noProof/>
                <w:webHidden/>
              </w:rPr>
              <w:fldChar w:fldCharType="separate"/>
            </w:r>
            <w:r w:rsidR="00071979">
              <w:rPr>
                <w:noProof/>
                <w:webHidden/>
              </w:rPr>
              <w:t>22</w:t>
            </w:r>
            <w:r w:rsidR="00071979">
              <w:rPr>
                <w:noProof/>
                <w:webHidden/>
              </w:rPr>
              <w:fldChar w:fldCharType="end"/>
            </w:r>
          </w:hyperlink>
        </w:p>
        <w:p w14:paraId="5BDABE4B" w14:textId="2DBFAF8B" w:rsidR="00071979" w:rsidRDefault="00610EEF">
          <w:pPr>
            <w:pStyle w:val="TOC2"/>
            <w:tabs>
              <w:tab w:val="right" w:leader="dot" w:pos="9350"/>
            </w:tabs>
            <w:rPr>
              <w:rFonts w:asciiTheme="minorHAnsi" w:eastAsiaTheme="minorEastAsia" w:hAnsiTheme="minorHAnsi" w:cstheme="minorBidi"/>
              <w:noProof/>
              <w:lang w:val="en-US"/>
            </w:rPr>
          </w:pPr>
          <w:hyperlink w:anchor="_Toc39826946" w:history="1">
            <w:r w:rsidR="00071979" w:rsidRPr="00481546">
              <w:rPr>
                <w:rStyle w:val="Hyperlink"/>
                <w:noProof/>
              </w:rPr>
              <w:t>Appendix C: Transportation</w:t>
            </w:r>
            <w:r w:rsidR="00071979">
              <w:rPr>
                <w:noProof/>
                <w:webHidden/>
              </w:rPr>
              <w:tab/>
            </w:r>
            <w:r w:rsidR="00071979">
              <w:rPr>
                <w:noProof/>
                <w:webHidden/>
              </w:rPr>
              <w:fldChar w:fldCharType="begin"/>
            </w:r>
            <w:r w:rsidR="00071979">
              <w:rPr>
                <w:noProof/>
                <w:webHidden/>
              </w:rPr>
              <w:instrText xml:space="preserve"> PAGEREF _Toc39826946 \h </w:instrText>
            </w:r>
            <w:r w:rsidR="00071979">
              <w:rPr>
                <w:noProof/>
                <w:webHidden/>
              </w:rPr>
            </w:r>
            <w:r w:rsidR="00071979">
              <w:rPr>
                <w:noProof/>
                <w:webHidden/>
              </w:rPr>
              <w:fldChar w:fldCharType="separate"/>
            </w:r>
            <w:r w:rsidR="00071979">
              <w:rPr>
                <w:noProof/>
                <w:webHidden/>
              </w:rPr>
              <w:t>22</w:t>
            </w:r>
            <w:r w:rsidR="00071979">
              <w:rPr>
                <w:noProof/>
                <w:webHidden/>
              </w:rPr>
              <w:fldChar w:fldCharType="end"/>
            </w:r>
          </w:hyperlink>
        </w:p>
        <w:p w14:paraId="71C33728" w14:textId="074A611E" w:rsidR="00071979" w:rsidRDefault="00610EEF">
          <w:pPr>
            <w:pStyle w:val="TOC2"/>
            <w:tabs>
              <w:tab w:val="right" w:leader="dot" w:pos="9350"/>
            </w:tabs>
            <w:rPr>
              <w:rFonts w:asciiTheme="minorHAnsi" w:eastAsiaTheme="minorEastAsia" w:hAnsiTheme="minorHAnsi" w:cstheme="minorBidi"/>
              <w:noProof/>
              <w:lang w:val="en-US"/>
            </w:rPr>
          </w:pPr>
          <w:hyperlink w:anchor="_Toc39826947" w:history="1">
            <w:r w:rsidR="00071979" w:rsidRPr="00481546">
              <w:rPr>
                <w:rStyle w:val="Hyperlink"/>
                <w:noProof/>
              </w:rPr>
              <w:t>Appendix D: Solid Waste</w:t>
            </w:r>
            <w:r w:rsidR="00071979">
              <w:rPr>
                <w:noProof/>
                <w:webHidden/>
              </w:rPr>
              <w:tab/>
            </w:r>
            <w:r w:rsidR="00071979">
              <w:rPr>
                <w:noProof/>
                <w:webHidden/>
              </w:rPr>
              <w:fldChar w:fldCharType="begin"/>
            </w:r>
            <w:r w:rsidR="00071979">
              <w:rPr>
                <w:noProof/>
                <w:webHidden/>
              </w:rPr>
              <w:instrText xml:space="preserve"> PAGEREF _Toc39826947 \h </w:instrText>
            </w:r>
            <w:r w:rsidR="00071979">
              <w:rPr>
                <w:noProof/>
                <w:webHidden/>
              </w:rPr>
            </w:r>
            <w:r w:rsidR="00071979">
              <w:rPr>
                <w:noProof/>
                <w:webHidden/>
              </w:rPr>
              <w:fldChar w:fldCharType="separate"/>
            </w:r>
            <w:r w:rsidR="00071979">
              <w:rPr>
                <w:noProof/>
                <w:webHidden/>
              </w:rPr>
              <w:t>23</w:t>
            </w:r>
            <w:r w:rsidR="00071979">
              <w:rPr>
                <w:noProof/>
                <w:webHidden/>
              </w:rPr>
              <w:fldChar w:fldCharType="end"/>
            </w:r>
          </w:hyperlink>
        </w:p>
        <w:p w14:paraId="6927F9A8" w14:textId="4C49E7D9" w:rsidR="00071979" w:rsidRDefault="00610EEF">
          <w:pPr>
            <w:pStyle w:val="TOC2"/>
            <w:tabs>
              <w:tab w:val="right" w:leader="dot" w:pos="9350"/>
            </w:tabs>
            <w:rPr>
              <w:rFonts w:asciiTheme="minorHAnsi" w:eastAsiaTheme="minorEastAsia" w:hAnsiTheme="minorHAnsi" w:cstheme="minorBidi"/>
              <w:noProof/>
              <w:lang w:val="en-US"/>
            </w:rPr>
          </w:pPr>
          <w:hyperlink w:anchor="_Toc39826948" w:history="1">
            <w:r w:rsidR="00071979" w:rsidRPr="00481546">
              <w:rPr>
                <w:rStyle w:val="Hyperlink"/>
                <w:noProof/>
              </w:rPr>
              <w:t>Appendix E: Excluded Categories</w:t>
            </w:r>
            <w:r w:rsidR="00071979">
              <w:rPr>
                <w:noProof/>
                <w:webHidden/>
              </w:rPr>
              <w:tab/>
            </w:r>
            <w:r w:rsidR="00071979">
              <w:rPr>
                <w:noProof/>
                <w:webHidden/>
              </w:rPr>
              <w:fldChar w:fldCharType="begin"/>
            </w:r>
            <w:r w:rsidR="00071979">
              <w:rPr>
                <w:noProof/>
                <w:webHidden/>
              </w:rPr>
              <w:instrText xml:space="preserve"> PAGEREF _Toc39826948 \h </w:instrText>
            </w:r>
            <w:r w:rsidR="00071979">
              <w:rPr>
                <w:noProof/>
                <w:webHidden/>
              </w:rPr>
            </w:r>
            <w:r w:rsidR="00071979">
              <w:rPr>
                <w:noProof/>
                <w:webHidden/>
              </w:rPr>
              <w:fldChar w:fldCharType="separate"/>
            </w:r>
            <w:r w:rsidR="00071979">
              <w:rPr>
                <w:noProof/>
                <w:webHidden/>
              </w:rPr>
              <w:t>23</w:t>
            </w:r>
            <w:r w:rsidR="00071979">
              <w:rPr>
                <w:noProof/>
                <w:webHidden/>
              </w:rPr>
              <w:fldChar w:fldCharType="end"/>
            </w:r>
          </w:hyperlink>
        </w:p>
        <w:p w14:paraId="3DA19340" w14:textId="64FA6FC7" w:rsidR="00071979" w:rsidRDefault="00610EEF">
          <w:pPr>
            <w:pStyle w:val="TOC1"/>
            <w:tabs>
              <w:tab w:val="right" w:leader="dot" w:pos="9350"/>
            </w:tabs>
            <w:rPr>
              <w:rFonts w:asciiTheme="minorHAnsi" w:eastAsiaTheme="minorEastAsia" w:hAnsiTheme="minorHAnsi" w:cstheme="minorBidi"/>
              <w:noProof/>
              <w:lang w:val="en-US"/>
            </w:rPr>
          </w:pPr>
          <w:hyperlink w:anchor="_Toc39826949" w:history="1">
            <w:r w:rsidR="00071979" w:rsidRPr="00481546">
              <w:rPr>
                <w:rStyle w:val="Hyperlink"/>
                <w:noProof/>
              </w:rPr>
              <w:t>Data Tables</w:t>
            </w:r>
            <w:r w:rsidR="00071979">
              <w:rPr>
                <w:noProof/>
                <w:webHidden/>
              </w:rPr>
              <w:tab/>
            </w:r>
            <w:r w:rsidR="00071979">
              <w:rPr>
                <w:noProof/>
                <w:webHidden/>
              </w:rPr>
              <w:fldChar w:fldCharType="begin"/>
            </w:r>
            <w:r w:rsidR="00071979">
              <w:rPr>
                <w:noProof/>
                <w:webHidden/>
              </w:rPr>
              <w:instrText xml:space="preserve"> PAGEREF _Toc39826949 \h </w:instrText>
            </w:r>
            <w:r w:rsidR="00071979">
              <w:rPr>
                <w:noProof/>
                <w:webHidden/>
              </w:rPr>
            </w:r>
            <w:r w:rsidR="00071979">
              <w:rPr>
                <w:noProof/>
                <w:webHidden/>
              </w:rPr>
              <w:fldChar w:fldCharType="separate"/>
            </w:r>
            <w:r w:rsidR="00071979">
              <w:rPr>
                <w:noProof/>
                <w:webHidden/>
              </w:rPr>
              <w:t>24</w:t>
            </w:r>
            <w:r w:rsidR="00071979">
              <w:rPr>
                <w:noProof/>
                <w:webHidden/>
              </w:rPr>
              <w:fldChar w:fldCharType="end"/>
            </w:r>
          </w:hyperlink>
        </w:p>
        <w:p w14:paraId="7A9AC355" w14:textId="64EEAA1B" w:rsidR="00071979" w:rsidRDefault="00610EEF">
          <w:pPr>
            <w:pStyle w:val="TOC2"/>
            <w:tabs>
              <w:tab w:val="right" w:leader="dot" w:pos="9350"/>
            </w:tabs>
            <w:rPr>
              <w:rFonts w:asciiTheme="minorHAnsi" w:eastAsiaTheme="minorEastAsia" w:hAnsiTheme="minorHAnsi" w:cstheme="minorBidi"/>
              <w:noProof/>
              <w:lang w:val="en-US"/>
            </w:rPr>
          </w:pPr>
          <w:hyperlink w:anchor="_Toc39826950" w:history="1">
            <w:r w:rsidR="00071979" w:rsidRPr="00481546">
              <w:rPr>
                <w:rStyle w:val="Hyperlink"/>
                <w:noProof/>
              </w:rPr>
              <w:t>Table I: Compiled Data for Electrical Consumption (MWh)</w:t>
            </w:r>
            <w:r w:rsidR="00071979">
              <w:rPr>
                <w:noProof/>
                <w:webHidden/>
              </w:rPr>
              <w:tab/>
            </w:r>
            <w:r w:rsidR="00071979">
              <w:rPr>
                <w:noProof/>
                <w:webHidden/>
              </w:rPr>
              <w:fldChar w:fldCharType="begin"/>
            </w:r>
            <w:r w:rsidR="00071979">
              <w:rPr>
                <w:noProof/>
                <w:webHidden/>
              </w:rPr>
              <w:instrText xml:space="preserve"> PAGEREF _Toc39826950 \h </w:instrText>
            </w:r>
            <w:r w:rsidR="00071979">
              <w:rPr>
                <w:noProof/>
                <w:webHidden/>
              </w:rPr>
            </w:r>
            <w:r w:rsidR="00071979">
              <w:rPr>
                <w:noProof/>
                <w:webHidden/>
              </w:rPr>
              <w:fldChar w:fldCharType="separate"/>
            </w:r>
            <w:r w:rsidR="00071979">
              <w:rPr>
                <w:noProof/>
                <w:webHidden/>
              </w:rPr>
              <w:t>24</w:t>
            </w:r>
            <w:r w:rsidR="00071979">
              <w:rPr>
                <w:noProof/>
                <w:webHidden/>
              </w:rPr>
              <w:fldChar w:fldCharType="end"/>
            </w:r>
          </w:hyperlink>
        </w:p>
        <w:p w14:paraId="1E447FDA" w14:textId="7A29151E" w:rsidR="00071979" w:rsidRDefault="00610EEF">
          <w:pPr>
            <w:pStyle w:val="TOC2"/>
            <w:tabs>
              <w:tab w:val="right" w:leader="dot" w:pos="9350"/>
            </w:tabs>
            <w:rPr>
              <w:rFonts w:asciiTheme="minorHAnsi" w:eastAsiaTheme="minorEastAsia" w:hAnsiTheme="minorHAnsi" w:cstheme="minorBidi"/>
              <w:noProof/>
              <w:lang w:val="en-US"/>
            </w:rPr>
          </w:pPr>
          <w:hyperlink w:anchor="_Toc39826951" w:history="1">
            <w:r w:rsidR="00071979" w:rsidRPr="00481546">
              <w:rPr>
                <w:rStyle w:val="Hyperlink"/>
                <w:noProof/>
              </w:rPr>
              <w:t>Table II: Compiled Data for Natural Gas Consumption (Therms)</w:t>
            </w:r>
            <w:r w:rsidR="00071979">
              <w:rPr>
                <w:noProof/>
                <w:webHidden/>
              </w:rPr>
              <w:tab/>
            </w:r>
            <w:r w:rsidR="00071979">
              <w:rPr>
                <w:noProof/>
                <w:webHidden/>
              </w:rPr>
              <w:fldChar w:fldCharType="begin"/>
            </w:r>
            <w:r w:rsidR="00071979">
              <w:rPr>
                <w:noProof/>
                <w:webHidden/>
              </w:rPr>
              <w:instrText xml:space="preserve"> PAGEREF _Toc39826951 \h </w:instrText>
            </w:r>
            <w:r w:rsidR="00071979">
              <w:rPr>
                <w:noProof/>
                <w:webHidden/>
              </w:rPr>
            </w:r>
            <w:r w:rsidR="00071979">
              <w:rPr>
                <w:noProof/>
                <w:webHidden/>
              </w:rPr>
              <w:fldChar w:fldCharType="separate"/>
            </w:r>
            <w:r w:rsidR="00071979">
              <w:rPr>
                <w:noProof/>
                <w:webHidden/>
              </w:rPr>
              <w:t>25</w:t>
            </w:r>
            <w:r w:rsidR="00071979">
              <w:rPr>
                <w:noProof/>
                <w:webHidden/>
              </w:rPr>
              <w:fldChar w:fldCharType="end"/>
            </w:r>
          </w:hyperlink>
        </w:p>
        <w:p w14:paraId="44E99E4B" w14:textId="5FBD3487" w:rsidR="00071979" w:rsidRDefault="00610EEF">
          <w:pPr>
            <w:pStyle w:val="TOC2"/>
            <w:tabs>
              <w:tab w:val="right" w:leader="dot" w:pos="9350"/>
            </w:tabs>
            <w:rPr>
              <w:rFonts w:asciiTheme="minorHAnsi" w:eastAsiaTheme="minorEastAsia" w:hAnsiTheme="minorHAnsi" w:cstheme="minorBidi"/>
              <w:noProof/>
              <w:lang w:val="en-US"/>
            </w:rPr>
          </w:pPr>
          <w:hyperlink w:anchor="_Toc39826952" w:history="1">
            <w:r w:rsidR="00071979" w:rsidRPr="00481546">
              <w:rPr>
                <w:rStyle w:val="Hyperlink"/>
                <w:noProof/>
              </w:rPr>
              <w:t>Table III: Compiled Data for Transportation (AVMT)</w:t>
            </w:r>
            <w:r w:rsidR="00071979">
              <w:rPr>
                <w:noProof/>
                <w:webHidden/>
              </w:rPr>
              <w:tab/>
            </w:r>
            <w:r w:rsidR="00071979">
              <w:rPr>
                <w:noProof/>
                <w:webHidden/>
              </w:rPr>
              <w:fldChar w:fldCharType="begin"/>
            </w:r>
            <w:r w:rsidR="00071979">
              <w:rPr>
                <w:noProof/>
                <w:webHidden/>
              </w:rPr>
              <w:instrText xml:space="preserve"> PAGEREF _Toc39826952 \h </w:instrText>
            </w:r>
            <w:r w:rsidR="00071979">
              <w:rPr>
                <w:noProof/>
                <w:webHidden/>
              </w:rPr>
            </w:r>
            <w:r w:rsidR="00071979">
              <w:rPr>
                <w:noProof/>
                <w:webHidden/>
              </w:rPr>
              <w:fldChar w:fldCharType="separate"/>
            </w:r>
            <w:r w:rsidR="00071979">
              <w:rPr>
                <w:noProof/>
                <w:webHidden/>
              </w:rPr>
              <w:t>25</w:t>
            </w:r>
            <w:r w:rsidR="00071979">
              <w:rPr>
                <w:noProof/>
                <w:webHidden/>
              </w:rPr>
              <w:fldChar w:fldCharType="end"/>
            </w:r>
          </w:hyperlink>
        </w:p>
        <w:p w14:paraId="516A83C1" w14:textId="6E511135" w:rsidR="00071979" w:rsidRDefault="00610EEF">
          <w:pPr>
            <w:pStyle w:val="TOC2"/>
            <w:tabs>
              <w:tab w:val="right" w:leader="dot" w:pos="9350"/>
            </w:tabs>
            <w:rPr>
              <w:rFonts w:asciiTheme="minorHAnsi" w:eastAsiaTheme="minorEastAsia" w:hAnsiTheme="minorHAnsi" w:cstheme="minorBidi"/>
              <w:noProof/>
              <w:lang w:val="en-US"/>
            </w:rPr>
          </w:pPr>
          <w:hyperlink w:anchor="_Toc39826953" w:history="1">
            <w:r w:rsidR="00071979" w:rsidRPr="00481546">
              <w:rPr>
                <w:rStyle w:val="Hyperlink"/>
                <w:noProof/>
              </w:rPr>
              <w:t>Table IV : Compiled Solid Waste Data (Tons)</w:t>
            </w:r>
            <w:r w:rsidR="00071979">
              <w:rPr>
                <w:noProof/>
                <w:webHidden/>
              </w:rPr>
              <w:tab/>
            </w:r>
            <w:r w:rsidR="00071979">
              <w:rPr>
                <w:noProof/>
                <w:webHidden/>
              </w:rPr>
              <w:fldChar w:fldCharType="begin"/>
            </w:r>
            <w:r w:rsidR="00071979">
              <w:rPr>
                <w:noProof/>
                <w:webHidden/>
              </w:rPr>
              <w:instrText xml:space="preserve"> PAGEREF _Toc39826953 \h </w:instrText>
            </w:r>
            <w:r w:rsidR="00071979">
              <w:rPr>
                <w:noProof/>
                <w:webHidden/>
              </w:rPr>
            </w:r>
            <w:r w:rsidR="00071979">
              <w:rPr>
                <w:noProof/>
                <w:webHidden/>
              </w:rPr>
              <w:fldChar w:fldCharType="separate"/>
            </w:r>
            <w:r w:rsidR="00071979">
              <w:rPr>
                <w:noProof/>
                <w:webHidden/>
              </w:rPr>
              <w:t>26</w:t>
            </w:r>
            <w:r w:rsidR="00071979">
              <w:rPr>
                <w:noProof/>
                <w:webHidden/>
              </w:rPr>
              <w:fldChar w:fldCharType="end"/>
            </w:r>
          </w:hyperlink>
        </w:p>
        <w:p w14:paraId="7E4D5B27" w14:textId="12F4C4D6" w:rsidR="00071979" w:rsidRDefault="00610EEF">
          <w:pPr>
            <w:pStyle w:val="TOC1"/>
            <w:tabs>
              <w:tab w:val="right" w:leader="dot" w:pos="9350"/>
            </w:tabs>
            <w:rPr>
              <w:rFonts w:asciiTheme="minorHAnsi" w:eastAsiaTheme="minorEastAsia" w:hAnsiTheme="minorHAnsi" w:cstheme="minorBidi"/>
              <w:noProof/>
              <w:lang w:val="en-US"/>
            </w:rPr>
          </w:pPr>
          <w:hyperlink w:anchor="_Toc39826954" w:history="1">
            <w:r w:rsidR="00071979" w:rsidRPr="00481546">
              <w:rPr>
                <w:rStyle w:val="Hyperlink"/>
                <w:noProof/>
              </w:rPr>
              <w:t>Acknowledgements</w:t>
            </w:r>
            <w:r w:rsidR="00071979">
              <w:rPr>
                <w:noProof/>
                <w:webHidden/>
              </w:rPr>
              <w:tab/>
            </w:r>
            <w:r w:rsidR="00071979">
              <w:rPr>
                <w:noProof/>
                <w:webHidden/>
              </w:rPr>
              <w:fldChar w:fldCharType="begin"/>
            </w:r>
            <w:r w:rsidR="00071979">
              <w:rPr>
                <w:noProof/>
                <w:webHidden/>
              </w:rPr>
              <w:instrText xml:space="preserve"> PAGEREF _Toc39826954 \h </w:instrText>
            </w:r>
            <w:r w:rsidR="00071979">
              <w:rPr>
                <w:noProof/>
                <w:webHidden/>
              </w:rPr>
            </w:r>
            <w:r w:rsidR="00071979">
              <w:rPr>
                <w:noProof/>
                <w:webHidden/>
              </w:rPr>
              <w:fldChar w:fldCharType="separate"/>
            </w:r>
            <w:r w:rsidR="00071979">
              <w:rPr>
                <w:noProof/>
                <w:webHidden/>
              </w:rPr>
              <w:t>27</w:t>
            </w:r>
            <w:r w:rsidR="00071979">
              <w:rPr>
                <w:noProof/>
                <w:webHidden/>
              </w:rPr>
              <w:fldChar w:fldCharType="end"/>
            </w:r>
          </w:hyperlink>
        </w:p>
        <w:p w14:paraId="78AED16A" w14:textId="64CA6AD9" w:rsidR="00071979" w:rsidRDefault="00610EEF">
          <w:pPr>
            <w:pStyle w:val="TOC1"/>
            <w:tabs>
              <w:tab w:val="right" w:leader="dot" w:pos="9350"/>
            </w:tabs>
            <w:rPr>
              <w:rFonts w:asciiTheme="minorHAnsi" w:eastAsiaTheme="minorEastAsia" w:hAnsiTheme="minorHAnsi" w:cstheme="minorBidi"/>
              <w:noProof/>
              <w:lang w:val="en-US"/>
            </w:rPr>
          </w:pPr>
          <w:hyperlink w:anchor="_Toc39826955" w:history="1">
            <w:r w:rsidR="00071979" w:rsidRPr="00481546">
              <w:rPr>
                <w:rStyle w:val="Hyperlink"/>
                <w:noProof/>
              </w:rPr>
              <w:t>References</w:t>
            </w:r>
            <w:r w:rsidR="00071979">
              <w:rPr>
                <w:noProof/>
                <w:webHidden/>
              </w:rPr>
              <w:tab/>
            </w:r>
            <w:r w:rsidR="00071979">
              <w:rPr>
                <w:noProof/>
                <w:webHidden/>
              </w:rPr>
              <w:fldChar w:fldCharType="begin"/>
            </w:r>
            <w:r w:rsidR="00071979">
              <w:rPr>
                <w:noProof/>
                <w:webHidden/>
              </w:rPr>
              <w:instrText xml:space="preserve"> PAGEREF _Toc39826955 \h </w:instrText>
            </w:r>
            <w:r w:rsidR="00071979">
              <w:rPr>
                <w:noProof/>
                <w:webHidden/>
              </w:rPr>
            </w:r>
            <w:r w:rsidR="00071979">
              <w:rPr>
                <w:noProof/>
                <w:webHidden/>
              </w:rPr>
              <w:fldChar w:fldCharType="separate"/>
            </w:r>
            <w:r w:rsidR="00071979">
              <w:rPr>
                <w:noProof/>
                <w:webHidden/>
              </w:rPr>
              <w:t>28</w:t>
            </w:r>
            <w:r w:rsidR="00071979">
              <w:rPr>
                <w:noProof/>
                <w:webHidden/>
              </w:rPr>
              <w:fldChar w:fldCharType="end"/>
            </w:r>
          </w:hyperlink>
        </w:p>
        <w:p w14:paraId="65A4BF39" w14:textId="34F19F57" w:rsidR="00071979" w:rsidRDefault="00610EEF">
          <w:pPr>
            <w:pStyle w:val="TOC1"/>
            <w:tabs>
              <w:tab w:val="right" w:leader="dot" w:pos="9350"/>
            </w:tabs>
            <w:rPr>
              <w:rFonts w:asciiTheme="minorHAnsi" w:eastAsiaTheme="minorEastAsia" w:hAnsiTheme="minorHAnsi" w:cstheme="minorBidi"/>
              <w:noProof/>
              <w:lang w:val="en-US"/>
            </w:rPr>
          </w:pPr>
          <w:hyperlink w:anchor="_Toc39826956" w:history="1">
            <w:r w:rsidR="00071979" w:rsidRPr="00481546">
              <w:rPr>
                <w:rStyle w:val="Hyperlink"/>
                <w:noProof/>
              </w:rPr>
              <w:t>Images</w:t>
            </w:r>
            <w:r w:rsidR="00071979">
              <w:rPr>
                <w:noProof/>
                <w:webHidden/>
              </w:rPr>
              <w:tab/>
            </w:r>
            <w:r w:rsidR="00071979">
              <w:rPr>
                <w:noProof/>
                <w:webHidden/>
              </w:rPr>
              <w:fldChar w:fldCharType="begin"/>
            </w:r>
            <w:r w:rsidR="00071979">
              <w:rPr>
                <w:noProof/>
                <w:webHidden/>
              </w:rPr>
              <w:instrText xml:space="preserve"> PAGEREF _Toc39826956 \h </w:instrText>
            </w:r>
            <w:r w:rsidR="00071979">
              <w:rPr>
                <w:noProof/>
                <w:webHidden/>
              </w:rPr>
            </w:r>
            <w:r w:rsidR="00071979">
              <w:rPr>
                <w:noProof/>
                <w:webHidden/>
              </w:rPr>
              <w:fldChar w:fldCharType="separate"/>
            </w:r>
            <w:r w:rsidR="00071979">
              <w:rPr>
                <w:noProof/>
                <w:webHidden/>
              </w:rPr>
              <w:t>29</w:t>
            </w:r>
            <w:r w:rsidR="00071979">
              <w:rPr>
                <w:noProof/>
                <w:webHidden/>
              </w:rPr>
              <w:fldChar w:fldCharType="end"/>
            </w:r>
          </w:hyperlink>
        </w:p>
        <w:p w14:paraId="17116EC0" w14:textId="7C48E750" w:rsidR="00071979" w:rsidRDefault="00071979">
          <w:r>
            <w:rPr>
              <w:b/>
              <w:bCs/>
              <w:noProof/>
            </w:rPr>
            <w:fldChar w:fldCharType="end"/>
          </w:r>
        </w:p>
      </w:sdtContent>
    </w:sdt>
    <w:p w14:paraId="4A3906F5" w14:textId="77777777" w:rsidR="003345CA" w:rsidRPr="00071979" w:rsidRDefault="0046350E" w:rsidP="00071979">
      <w:pPr>
        <w:pStyle w:val="Heading1"/>
      </w:pPr>
      <w:bookmarkStart w:id="7" w:name="_oo2ei4p5jxuk" w:colFirst="0" w:colLast="0"/>
      <w:bookmarkStart w:id="8" w:name="_9k3i3k1x3q46" w:colFirst="0" w:colLast="0"/>
      <w:bookmarkStart w:id="9" w:name="_y5pil9vljirq" w:colFirst="0" w:colLast="0"/>
      <w:bookmarkStart w:id="10" w:name="_9v88jywpqb8d" w:colFirst="0" w:colLast="0"/>
      <w:bookmarkStart w:id="11" w:name="_a3rb3wu2fbdr" w:colFirst="0" w:colLast="0"/>
      <w:bookmarkStart w:id="12" w:name="_hrpqpwc7xops" w:colFirst="0" w:colLast="0"/>
      <w:bookmarkStart w:id="13" w:name="_mc03bpk4pqcc" w:colFirst="0" w:colLast="0"/>
      <w:bookmarkStart w:id="14" w:name="_2v5izpnroe4w" w:colFirst="0" w:colLast="0"/>
      <w:bookmarkStart w:id="15" w:name="_rsoc0y1f39jv" w:colFirst="0" w:colLast="0"/>
      <w:bookmarkStart w:id="16" w:name="_xlzv78lh5w2" w:colFirst="0" w:colLast="0"/>
      <w:bookmarkStart w:id="17" w:name="_1pr42dyrlcpn" w:colFirst="0" w:colLast="0"/>
      <w:bookmarkStart w:id="18" w:name="_6k9e638tbc9o" w:colFirst="0" w:colLast="0"/>
      <w:bookmarkStart w:id="19" w:name="_ujch8ti0yj5t" w:colFirst="0" w:colLast="0"/>
      <w:bookmarkStart w:id="20" w:name="_hcol746s918k" w:colFirst="0" w:colLast="0"/>
      <w:bookmarkStart w:id="21" w:name="_Toc39826919"/>
      <w:bookmarkEnd w:id="7"/>
      <w:bookmarkEnd w:id="8"/>
      <w:bookmarkEnd w:id="9"/>
      <w:bookmarkEnd w:id="10"/>
      <w:bookmarkEnd w:id="11"/>
      <w:bookmarkEnd w:id="12"/>
      <w:bookmarkEnd w:id="13"/>
      <w:bookmarkEnd w:id="14"/>
      <w:bookmarkEnd w:id="15"/>
      <w:bookmarkEnd w:id="16"/>
      <w:bookmarkEnd w:id="17"/>
      <w:bookmarkEnd w:id="18"/>
      <w:bookmarkEnd w:id="19"/>
      <w:bookmarkEnd w:id="20"/>
      <w:r w:rsidRPr="00071979">
        <w:t>Chapter 1: Introduction</w:t>
      </w:r>
      <w:bookmarkEnd w:id="21"/>
    </w:p>
    <w:p w14:paraId="08CCB10F" w14:textId="77777777" w:rsidR="003345CA" w:rsidRPr="00071979" w:rsidRDefault="0046350E" w:rsidP="00071979">
      <w:pPr>
        <w:pStyle w:val="Heading2"/>
      </w:pPr>
      <w:bookmarkStart w:id="22" w:name="_mfczmuonyiyz" w:colFirst="0" w:colLast="0"/>
      <w:bookmarkStart w:id="23" w:name="_Toc39826920"/>
      <w:bookmarkEnd w:id="22"/>
      <w:r w:rsidRPr="00071979">
        <w:t>1.1 Executive Summary</w:t>
      </w:r>
      <w:bookmarkEnd w:id="23"/>
    </w:p>
    <w:p w14:paraId="2FB14DF0" w14:textId="77777777" w:rsidR="003345CA" w:rsidRDefault="0046350E">
      <w:r>
        <w:lastRenderedPageBreak/>
        <w:t>This document explores the greenhouse gas emissions emitted from the Village of Homer Community. It will briefly, in the Introduction, discuss the greenhouse gas effect as the greater impetus to engage in emission reduction, as well as Climate Smart Community (CSC) certification. This report is a step in that certification process.</w:t>
      </w:r>
    </w:p>
    <w:p w14:paraId="4007C096" w14:textId="77777777" w:rsidR="003345CA" w:rsidRDefault="0046350E">
      <w:r>
        <w:t>The methods section includes an overview of how data was collected for the included sectors and in the case of wastewater and stationary fuels, what particular emission producers were excluded.</w:t>
      </w:r>
    </w:p>
    <w:p w14:paraId="04741084" w14:textId="77777777" w:rsidR="003345CA" w:rsidRDefault="0046350E">
      <w:r>
        <w:t>The results section details the emissions stemming from each sector within the inventory report. In addition, the Village of Homer’s GHG emission per capita is established for the year of 2018.</w:t>
      </w:r>
    </w:p>
    <w:p w14:paraId="73AA3925" w14:textId="77777777" w:rsidR="003345CA" w:rsidRDefault="0046350E">
      <w:r>
        <w:t>Within analysis and recommendations, the report goes on to recommend taking steps within each sector in order to further reduce emissions. These steps include expansion of a compost program, cooperating with energy auditors to identify potential solutions and promoting the use of bike lanes on village streets.</w:t>
      </w:r>
    </w:p>
    <w:p w14:paraId="645F2C30" w14:textId="77777777" w:rsidR="003345CA" w:rsidRPr="00071979" w:rsidRDefault="0046350E" w:rsidP="00071979">
      <w:pPr>
        <w:pStyle w:val="Heading2"/>
      </w:pPr>
      <w:bookmarkStart w:id="24" w:name="_2ug1s49o6c61" w:colFirst="0" w:colLast="0"/>
      <w:bookmarkStart w:id="25" w:name="_Toc39826921"/>
      <w:bookmarkEnd w:id="24"/>
      <w:r w:rsidRPr="00071979">
        <w:t>1.2 The Greenhouse Gas Effect</w:t>
      </w:r>
      <w:bookmarkEnd w:id="25"/>
    </w:p>
    <w:p w14:paraId="322F0F12" w14:textId="77777777" w:rsidR="003345CA" w:rsidRDefault="0046350E">
      <w:r>
        <w:t xml:space="preserve">Greenhouse gases trap solar radiation in our atmosphere causing the planet to warm. The source of almost all increase in greenhouse gases in the atmosphere over the last 150 years is related to human activities. According to the EPA, the largest source of human contributed greenhouse gas emissions comes from the burning of fossil fuels for electricity, heat, and transportation. </w:t>
      </w:r>
    </w:p>
    <w:p w14:paraId="5261F304" w14:textId="77777777" w:rsidR="003345CA" w:rsidRDefault="003345CA">
      <w:pPr>
        <w:rPr>
          <w:b/>
          <w:highlight w:val="yellow"/>
        </w:rPr>
      </w:pPr>
    </w:p>
    <w:p w14:paraId="12B4B341" w14:textId="77777777" w:rsidR="003345CA" w:rsidRDefault="0046350E">
      <w:r>
        <w:rPr>
          <w:noProof/>
        </w:rPr>
        <w:lastRenderedPageBreak/>
        <w:drawing>
          <wp:inline distT="114300" distB="114300" distL="114300" distR="114300" wp14:anchorId="685B7218" wp14:editId="1734FC7B">
            <wp:extent cx="5943600" cy="33401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14:paraId="3F0B0401" w14:textId="77777777" w:rsidR="003345CA" w:rsidRPr="00071979" w:rsidRDefault="0046350E" w:rsidP="00071979">
      <w:pPr>
        <w:pStyle w:val="Heading2"/>
      </w:pPr>
      <w:bookmarkStart w:id="26" w:name="_ix46onew7gtf" w:colFirst="0" w:colLast="0"/>
      <w:bookmarkStart w:id="27" w:name="_lgike0i26y9h" w:colFirst="0" w:colLast="0"/>
      <w:bookmarkStart w:id="28" w:name="_Toc39826922"/>
      <w:bookmarkEnd w:id="26"/>
      <w:bookmarkEnd w:id="27"/>
      <w:r w:rsidRPr="00071979">
        <w:t>1.3 Climate Action in New York</w:t>
      </w:r>
      <w:bookmarkEnd w:id="28"/>
    </w:p>
    <w:p w14:paraId="24A57E3F" w14:textId="081B005B" w:rsidR="003345CA" w:rsidRDefault="0046350E">
      <w:pPr>
        <w:pBdr>
          <w:top w:val="nil"/>
          <w:left w:val="nil"/>
          <w:bottom w:val="nil"/>
          <w:right w:val="nil"/>
          <w:between w:val="nil"/>
        </w:pBdr>
      </w:pPr>
      <w:r>
        <w:t xml:space="preserve">As the implications of climate change begin to intensify around the world, climate action on a local scale has grown in popularity across the United States. New York State has set ambitious clean energy goals through the Climate Leadership and </w:t>
      </w:r>
      <w:r w:rsidR="00610EEF">
        <w:t xml:space="preserve">Community </w:t>
      </w:r>
      <w:r>
        <w:t>Protection Act which aims to reduce greenhouse gas emissions 40 percent below levels from 1990 by 2030 and 85 percent below 1990 levels by 2050. As part of a plan to lead the way in climate action, New York State has established Climate Smart Communities, a New York State DEC program which consists of a network of communities that aim to reduce greenhouse gas emissions and increase climate resilience (Climate Smart New York 2018).</w:t>
      </w:r>
      <w:r>
        <w:rPr>
          <w:noProof/>
        </w:rPr>
        <w:drawing>
          <wp:anchor distT="114300" distB="114300" distL="114300" distR="114300" simplePos="0" relativeHeight="251658240" behindDoc="0" locked="0" layoutInCell="1" hidden="0" allowOverlap="1" wp14:anchorId="66C6B487" wp14:editId="70088192">
            <wp:simplePos x="0" y="0"/>
            <wp:positionH relativeFrom="column">
              <wp:posOffset>3352800</wp:posOffset>
            </wp:positionH>
            <wp:positionV relativeFrom="paragraph">
              <wp:posOffset>123825</wp:posOffset>
            </wp:positionV>
            <wp:extent cx="2729089" cy="1535112"/>
            <wp:effectExtent l="0" t="0" r="0" b="0"/>
            <wp:wrapSquare wrapText="left" distT="114300" distB="114300" distL="114300" distR="11430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729089" cy="1535112"/>
                    </a:xfrm>
                    <a:prstGeom prst="rect">
                      <a:avLst/>
                    </a:prstGeom>
                    <a:ln/>
                  </pic:spPr>
                </pic:pic>
              </a:graphicData>
            </a:graphic>
          </wp:anchor>
        </w:drawing>
      </w:r>
    </w:p>
    <w:p w14:paraId="7BE8EF3B" w14:textId="56BDECCD" w:rsidR="003345CA" w:rsidRDefault="003345CA">
      <w:pPr>
        <w:pBdr>
          <w:top w:val="nil"/>
          <w:left w:val="nil"/>
          <w:bottom w:val="nil"/>
          <w:right w:val="nil"/>
          <w:between w:val="nil"/>
        </w:pBdr>
      </w:pPr>
    </w:p>
    <w:p w14:paraId="4F3250A2" w14:textId="77777777" w:rsidR="00071979" w:rsidRDefault="00071979">
      <w:pPr>
        <w:pBdr>
          <w:top w:val="nil"/>
          <w:left w:val="nil"/>
          <w:bottom w:val="nil"/>
          <w:right w:val="nil"/>
          <w:between w:val="nil"/>
        </w:pBdr>
      </w:pPr>
    </w:p>
    <w:p w14:paraId="322E9B0D" w14:textId="77777777" w:rsidR="003345CA" w:rsidRDefault="0046350E">
      <w:pPr>
        <w:pBdr>
          <w:top w:val="nil"/>
          <w:left w:val="nil"/>
          <w:bottom w:val="nil"/>
          <w:right w:val="nil"/>
          <w:between w:val="nil"/>
        </w:pBdr>
        <w:rPr>
          <w:b/>
        </w:rPr>
      </w:pPr>
      <w:r>
        <w:rPr>
          <w:b/>
        </w:rPr>
        <w:t xml:space="preserve">             Climate Smart Community Pledge</w:t>
      </w:r>
    </w:p>
    <w:p w14:paraId="40FF1BDD" w14:textId="77777777" w:rsidR="003345CA" w:rsidRDefault="0046350E">
      <w:pPr>
        <w:numPr>
          <w:ilvl w:val="0"/>
          <w:numId w:val="1"/>
        </w:numPr>
        <w:shd w:val="clear" w:color="auto" w:fill="FFFFFF"/>
        <w:spacing w:before="120" w:line="372" w:lineRule="auto"/>
        <w:ind w:left="1100"/>
      </w:pPr>
      <w:r>
        <w:lastRenderedPageBreak/>
        <w:t>Build a climate-smart community.</w:t>
      </w:r>
    </w:p>
    <w:p w14:paraId="15DCB478" w14:textId="77777777" w:rsidR="003345CA" w:rsidRDefault="0046350E">
      <w:pPr>
        <w:numPr>
          <w:ilvl w:val="0"/>
          <w:numId w:val="1"/>
        </w:numPr>
        <w:shd w:val="clear" w:color="auto" w:fill="FFFFFF"/>
        <w:spacing w:before="0" w:line="372" w:lineRule="auto"/>
        <w:ind w:left="1100"/>
      </w:pPr>
      <w:r>
        <w:t>Inventory emissions, set goals, and plan for climate action.</w:t>
      </w:r>
    </w:p>
    <w:p w14:paraId="4F042880" w14:textId="77777777" w:rsidR="003345CA" w:rsidRDefault="0046350E">
      <w:pPr>
        <w:numPr>
          <w:ilvl w:val="0"/>
          <w:numId w:val="1"/>
        </w:numPr>
        <w:shd w:val="clear" w:color="auto" w:fill="FFFFFF"/>
        <w:spacing w:before="0" w:line="372" w:lineRule="auto"/>
        <w:ind w:left="1100"/>
      </w:pPr>
      <w:r>
        <w:t>Decrease energy use.</w:t>
      </w:r>
    </w:p>
    <w:p w14:paraId="6D928639" w14:textId="77777777" w:rsidR="003345CA" w:rsidRDefault="0046350E">
      <w:pPr>
        <w:numPr>
          <w:ilvl w:val="0"/>
          <w:numId w:val="1"/>
        </w:numPr>
        <w:shd w:val="clear" w:color="auto" w:fill="FFFFFF"/>
        <w:spacing w:before="0" w:line="372" w:lineRule="auto"/>
        <w:ind w:left="1100"/>
      </w:pPr>
      <w:r>
        <w:t>Shift to clean, renewable energy.</w:t>
      </w:r>
    </w:p>
    <w:p w14:paraId="29341CBD" w14:textId="77777777" w:rsidR="003345CA" w:rsidRDefault="0046350E">
      <w:pPr>
        <w:numPr>
          <w:ilvl w:val="0"/>
          <w:numId w:val="1"/>
        </w:numPr>
        <w:shd w:val="clear" w:color="auto" w:fill="FFFFFF"/>
        <w:spacing w:before="0" w:line="372" w:lineRule="auto"/>
        <w:ind w:left="1100"/>
      </w:pPr>
      <w:r>
        <w:t>Use climate-smart materials management.</w:t>
      </w:r>
    </w:p>
    <w:p w14:paraId="4F3F4504" w14:textId="77777777" w:rsidR="003345CA" w:rsidRDefault="0046350E">
      <w:pPr>
        <w:numPr>
          <w:ilvl w:val="0"/>
          <w:numId w:val="1"/>
        </w:numPr>
        <w:shd w:val="clear" w:color="auto" w:fill="FFFFFF"/>
        <w:spacing w:before="0" w:line="372" w:lineRule="auto"/>
        <w:ind w:left="1100"/>
      </w:pPr>
      <w:r>
        <w:t>Implement climate-smart land use.</w:t>
      </w:r>
    </w:p>
    <w:p w14:paraId="494799CC" w14:textId="77777777" w:rsidR="003345CA" w:rsidRDefault="0046350E">
      <w:pPr>
        <w:numPr>
          <w:ilvl w:val="0"/>
          <w:numId w:val="1"/>
        </w:numPr>
        <w:shd w:val="clear" w:color="auto" w:fill="FFFFFF"/>
        <w:spacing w:before="0" w:line="372" w:lineRule="auto"/>
        <w:ind w:left="1100"/>
      </w:pPr>
      <w:r>
        <w:t>Enhance community resilience to climate change.</w:t>
      </w:r>
    </w:p>
    <w:p w14:paraId="5AE3FDCD" w14:textId="77777777" w:rsidR="003345CA" w:rsidRDefault="0046350E">
      <w:pPr>
        <w:numPr>
          <w:ilvl w:val="0"/>
          <w:numId w:val="1"/>
        </w:numPr>
        <w:shd w:val="clear" w:color="auto" w:fill="FFFFFF"/>
        <w:spacing w:before="0" w:line="372" w:lineRule="auto"/>
        <w:ind w:left="1100"/>
      </w:pPr>
      <w:r>
        <w:t>Support a green innovation economy.</w:t>
      </w:r>
    </w:p>
    <w:p w14:paraId="778C8161" w14:textId="77777777" w:rsidR="003345CA" w:rsidRDefault="0046350E">
      <w:pPr>
        <w:numPr>
          <w:ilvl w:val="0"/>
          <w:numId w:val="1"/>
        </w:numPr>
        <w:shd w:val="clear" w:color="auto" w:fill="FFFFFF"/>
        <w:spacing w:before="0" w:line="372" w:lineRule="auto"/>
        <w:ind w:left="1100"/>
      </w:pPr>
      <w:r>
        <w:t>Inform and inspire the public.</w:t>
      </w:r>
    </w:p>
    <w:p w14:paraId="644C5342" w14:textId="77777777" w:rsidR="003345CA" w:rsidRDefault="0046350E">
      <w:pPr>
        <w:numPr>
          <w:ilvl w:val="0"/>
          <w:numId w:val="1"/>
        </w:numPr>
        <w:shd w:val="clear" w:color="auto" w:fill="FFFFFF"/>
        <w:spacing w:before="0" w:after="500" w:line="372" w:lineRule="auto"/>
        <w:ind w:left="1100"/>
      </w:pPr>
      <w:r>
        <w:t>Engage in an evolving process of climate action.</w:t>
      </w:r>
    </w:p>
    <w:p w14:paraId="51EC24F4" w14:textId="77777777" w:rsidR="00071979" w:rsidRDefault="00071979">
      <w:pPr>
        <w:rPr>
          <w:b/>
          <w:sz w:val="26"/>
          <w:szCs w:val="26"/>
        </w:rPr>
      </w:pPr>
      <w:bookmarkStart w:id="29" w:name="_rnwweixchv5" w:colFirst="0" w:colLast="0"/>
      <w:bookmarkStart w:id="30" w:name="_y84xh9q8dzaf" w:colFirst="0" w:colLast="0"/>
      <w:bookmarkStart w:id="31" w:name="_uur0q4bvv5hy" w:colFirst="0" w:colLast="0"/>
      <w:bookmarkStart w:id="32" w:name="_1ngekfxgmjjg" w:colFirst="0" w:colLast="0"/>
      <w:bookmarkStart w:id="33" w:name="_hw6unn9qhgra" w:colFirst="0" w:colLast="0"/>
      <w:bookmarkStart w:id="34" w:name="_yo35k8jlltf1" w:colFirst="0" w:colLast="0"/>
      <w:bookmarkStart w:id="35" w:name="_usu994svkmac" w:colFirst="0" w:colLast="0"/>
      <w:bookmarkStart w:id="36" w:name="_jl1mjcrc4j3u" w:colFirst="0" w:colLast="0"/>
      <w:bookmarkEnd w:id="29"/>
      <w:bookmarkEnd w:id="30"/>
      <w:bookmarkEnd w:id="31"/>
      <w:bookmarkEnd w:id="32"/>
      <w:bookmarkEnd w:id="33"/>
      <w:bookmarkEnd w:id="34"/>
      <w:bookmarkEnd w:id="35"/>
      <w:bookmarkEnd w:id="36"/>
      <w:r>
        <w:br w:type="page"/>
      </w:r>
    </w:p>
    <w:p w14:paraId="1343D563" w14:textId="69A09E77" w:rsidR="003345CA" w:rsidRPr="00071979" w:rsidRDefault="0046350E" w:rsidP="00071979">
      <w:pPr>
        <w:pStyle w:val="Heading2"/>
      </w:pPr>
      <w:bookmarkStart w:id="37" w:name="_Toc39826923"/>
      <w:r w:rsidRPr="00071979">
        <w:lastRenderedPageBreak/>
        <w:t>1.4 The Village of Homer</w:t>
      </w:r>
      <w:bookmarkEnd w:id="37"/>
    </w:p>
    <w:p w14:paraId="2C00DDB8" w14:textId="3846A174" w:rsidR="00071979" w:rsidRDefault="00071979" w:rsidP="00071979">
      <w:pPr>
        <w:jc w:val="center"/>
        <w:rPr>
          <w:noProof/>
        </w:rPr>
      </w:pPr>
      <w:bookmarkStart w:id="38" w:name="_1fy5ppq7vov" w:colFirst="0" w:colLast="0"/>
      <w:bookmarkStart w:id="39" w:name="_ilc3dsxqpkgy" w:colFirst="0" w:colLast="0"/>
      <w:bookmarkEnd w:id="38"/>
      <w:bookmarkEnd w:id="39"/>
      <w:r>
        <w:rPr>
          <w:noProof/>
        </w:rPr>
        <w:drawing>
          <wp:inline distT="114300" distB="114300" distL="114300" distR="114300" wp14:anchorId="08ACAF2B" wp14:editId="63C8B7CC">
            <wp:extent cx="4483100" cy="3362325"/>
            <wp:effectExtent l="-560387" t="560387" r="-560387" b="560387"/>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rot="16200000">
                      <a:off x="0" y="0"/>
                      <a:ext cx="4483100" cy="3362325"/>
                    </a:xfrm>
                    <a:prstGeom prst="rect">
                      <a:avLst/>
                    </a:prstGeom>
                    <a:ln/>
                  </pic:spPr>
                </pic:pic>
              </a:graphicData>
            </a:graphic>
          </wp:inline>
        </w:drawing>
      </w:r>
    </w:p>
    <w:p w14:paraId="2C2289C4" w14:textId="263FE946" w:rsidR="003345CA" w:rsidRDefault="0046350E" w:rsidP="00071979">
      <w:pPr>
        <w:jc w:val="center"/>
      </w:pPr>
      <w:r>
        <w:t>(Photo taken by Andrew Goodwin)</w:t>
      </w:r>
    </w:p>
    <w:p w14:paraId="440BE17F" w14:textId="77777777" w:rsidR="003345CA" w:rsidRDefault="0046350E" w:rsidP="00071979">
      <w:r>
        <w:t xml:space="preserve">Homer, New York is a village situated in Central New York, with a population of 3,134. They are seeking a bronze certification as a Climate Smart Community. As well as providing environmental benefits, becoming a Climate Smart Community provides additional benefits to any community that becomes certified. Certified Climate Smart Communities receive better scores on grant applications for state funding, such as the Climate Smart Communities Grant Program, state-level recognition, and are provided resources, tools, and guidance in order to achieve their goals. Additionally, by implementing </w:t>
      </w:r>
      <w:r>
        <w:lastRenderedPageBreak/>
        <w:t>actions required for certification, the communities experience many economic benefits such as cost savings through an increase in energy efficiency (Climate Smart New York, 2018).</w:t>
      </w:r>
    </w:p>
    <w:p w14:paraId="16D68EF2" w14:textId="77777777" w:rsidR="003345CA" w:rsidRDefault="0046350E" w:rsidP="00071979">
      <w:bookmarkStart w:id="40" w:name="_80ey2x37z1b3" w:colFirst="0" w:colLast="0"/>
      <w:bookmarkEnd w:id="40"/>
      <w:r>
        <w:rPr>
          <w:noProof/>
        </w:rPr>
        <w:drawing>
          <wp:inline distT="114300" distB="114300" distL="114300" distR="114300" wp14:anchorId="5DA83F46" wp14:editId="1A9057CB">
            <wp:extent cx="5943600" cy="4457700"/>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p>
    <w:p w14:paraId="40368A2B" w14:textId="77777777" w:rsidR="003345CA" w:rsidRDefault="0046350E" w:rsidP="00071979">
      <w:pPr>
        <w:jc w:val="center"/>
      </w:pPr>
      <w:bookmarkStart w:id="41" w:name="_ywb1ixashslg" w:colFirst="0" w:colLast="0"/>
      <w:bookmarkEnd w:id="41"/>
      <w:r>
        <w:t>(Photo taken by Andrew Goodwin)</w:t>
      </w:r>
    </w:p>
    <w:p w14:paraId="075F6C91" w14:textId="77777777" w:rsidR="003345CA" w:rsidRDefault="0046350E" w:rsidP="00071979">
      <w:pPr>
        <w:rPr>
          <w:sz w:val="32"/>
          <w:szCs w:val="32"/>
        </w:rPr>
      </w:pPr>
      <w:r>
        <w:t xml:space="preserve">In order to do so, they must undergo a meticulous review process to confirm completion of a variety of actions to ameliorate and adapt to climate change. One of the first steps for reducing greenhouse gas emissions is conducting an inventory of current emissions. In addition to being one of the first steps required to become certified as a Climate Smart Community, a community greenhouse gas (GHG) inventory provides an understanding of the sources of greenhouse gas emissions and provides baseline data that will be utilized as part of the local climate action process (Climate Smart New York, 2018). Broadening a GHG inventory to include the community is essential, as government operations generally account for less than three percent of a community’s emissions. A community GHG inventory provides the data that is required to identify key reduction areas and set realistic goals for future climate action </w:t>
      </w:r>
      <w:r>
        <w:lastRenderedPageBreak/>
        <w:t>(Climate Smart New York, 2020).</w:t>
      </w:r>
      <w:r>
        <w:rPr>
          <w:noProof/>
          <w:sz w:val="32"/>
          <w:szCs w:val="32"/>
        </w:rPr>
        <w:drawing>
          <wp:inline distT="114300" distB="114300" distL="114300" distR="114300" wp14:anchorId="2E84C7C9" wp14:editId="36F136F9">
            <wp:extent cx="5943600" cy="45974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4597400"/>
                    </a:xfrm>
                    <a:prstGeom prst="rect">
                      <a:avLst/>
                    </a:prstGeom>
                    <a:ln/>
                  </pic:spPr>
                </pic:pic>
              </a:graphicData>
            </a:graphic>
          </wp:inline>
        </w:drawing>
      </w:r>
      <w:r>
        <w:br w:type="page"/>
      </w:r>
    </w:p>
    <w:p w14:paraId="72D49B17" w14:textId="77777777" w:rsidR="003345CA" w:rsidRPr="00071979" w:rsidRDefault="0046350E" w:rsidP="00071979">
      <w:pPr>
        <w:pStyle w:val="Heading1"/>
      </w:pPr>
      <w:bookmarkStart w:id="42" w:name="_vdeuq3a29hr9" w:colFirst="0" w:colLast="0"/>
      <w:bookmarkStart w:id="43" w:name="_Toc39826924"/>
      <w:bookmarkEnd w:id="42"/>
      <w:r w:rsidRPr="00071979">
        <w:lastRenderedPageBreak/>
        <w:t>Chapter 2: Methods &amp; Focus Areas</w:t>
      </w:r>
      <w:bookmarkEnd w:id="43"/>
    </w:p>
    <w:p w14:paraId="614EA5D5" w14:textId="77777777" w:rsidR="003345CA" w:rsidRPr="00071979" w:rsidRDefault="0046350E" w:rsidP="00071979">
      <w:pPr>
        <w:pStyle w:val="Heading2"/>
      </w:pPr>
      <w:bookmarkStart w:id="44" w:name="_lbxld0rt64zk" w:colFirst="0" w:colLast="0"/>
      <w:bookmarkStart w:id="45" w:name="_Toc39826925"/>
      <w:bookmarkEnd w:id="44"/>
      <w:r w:rsidRPr="00071979">
        <w:t>2.1 Methods and Scope</w:t>
      </w:r>
      <w:bookmarkEnd w:id="45"/>
    </w:p>
    <w:p w14:paraId="213CCC8C" w14:textId="31B7E1C8" w:rsidR="003345CA" w:rsidRDefault="0046350E">
      <w:pPr>
        <w:pBdr>
          <w:top w:val="nil"/>
          <w:left w:val="nil"/>
          <w:bottom w:val="nil"/>
          <w:right w:val="nil"/>
          <w:between w:val="nil"/>
        </w:pBdr>
      </w:pPr>
      <w:r>
        <w:t xml:space="preserve">The inventory generated is based on 2018 operations and activities within the Village of Homer municipal boundary. The inventory was conducted according to the ICLEI US Community Protocol for Accounting and Reporting of Greenhouse Gas Emissions as recommended by Climate Smart Communities. Data was collected to meet all possible categories being direct emissions (Scope 1), indirect emissions (Scope 2), and upstream emissions (Scope 3). The focus areas for emissions included electricity, stationary combustion from natural gas, transportation, and solid waste. Emissions calculations were made using the EPA </w:t>
      </w:r>
      <w:r w:rsidR="008620CA" w:rsidRPr="008620CA">
        <w:t>Local Greenhouse Gas Inventory Tool</w:t>
      </w:r>
      <w:r w:rsidR="008620CA">
        <w:t xml:space="preserve"> for the Community, available at </w:t>
      </w:r>
      <w:hyperlink r:id="rId15" w:history="1">
        <w:r w:rsidR="008620CA">
          <w:rPr>
            <w:rStyle w:val="Hyperlink"/>
          </w:rPr>
          <w:t>https://www.epa.gov/statelocalenergy/local-greenhouse-gas-inventory-tool</w:t>
        </w:r>
      </w:hyperlink>
      <w:r>
        <w:t xml:space="preserve">. </w:t>
      </w:r>
    </w:p>
    <w:p w14:paraId="347FED7A" w14:textId="765D7E42" w:rsidR="003345CA" w:rsidRDefault="0046350E">
      <w:pPr>
        <w:pBdr>
          <w:top w:val="nil"/>
          <w:left w:val="nil"/>
          <w:bottom w:val="nil"/>
          <w:right w:val="nil"/>
          <w:between w:val="nil"/>
        </w:pBdr>
      </w:pPr>
      <w:r>
        <w:t>Focus areas excluded were wastewater and</w:t>
      </w:r>
      <w:r w:rsidR="00B843DF">
        <w:t xml:space="preserve"> other</w:t>
      </w:r>
      <w:r>
        <w:t xml:space="preserve"> stationary combustion fuels. There are no septic systems within the Village of Homer,</w:t>
      </w:r>
      <w:r w:rsidR="00B843DF">
        <w:t xml:space="preserve"> and</w:t>
      </w:r>
      <w:r>
        <w:t xml:space="preserve"> </w:t>
      </w:r>
      <w:r w:rsidR="00B843DF">
        <w:t>a</w:t>
      </w:r>
      <w:r>
        <w:t>nalysis of wastewater sent to the treatment plant is outside the scope of this report</w:t>
      </w:r>
      <w:r w:rsidR="00B843DF">
        <w:t>,</w:t>
      </w:r>
      <w:r w:rsidR="00B843DF" w:rsidRPr="00B843DF">
        <w:t xml:space="preserve"> </w:t>
      </w:r>
      <w:r w:rsidR="00B843DF">
        <w:t>therefore wastewater emissions were excluded from this report</w:t>
      </w:r>
      <w:r>
        <w:t xml:space="preserve">. The use of other stationary fuels was excluded for several reasons. The Village of Homer residents reported no use of propane, and </w:t>
      </w:r>
      <w:r w:rsidR="00B843DF">
        <w:t>only very minimal</w:t>
      </w:r>
      <w:r>
        <w:t xml:space="preserve"> use of coal and fuel oil or kerosene, according to the 2018 A</w:t>
      </w:r>
      <w:r w:rsidR="00B843DF">
        <w:t xml:space="preserve">merican </w:t>
      </w:r>
      <w:r>
        <w:t>C</w:t>
      </w:r>
      <w:r w:rsidR="00B843DF">
        <w:t xml:space="preserve">ommunity </w:t>
      </w:r>
      <w:r>
        <w:t>S</w:t>
      </w:r>
      <w:r w:rsidR="00B843DF">
        <w:t>urvey</w:t>
      </w:r>
      <w:r>
        <w:t xml:space="preserve">. There is no NYS data available to calculate total consumption of coal for residential units. As for kerosene and fuel oil, there is no way to parcel out the use of each fuel, as they are lumped together. Additional elaboration for each of these focus areas can be found in Appendix E. </w:t>
      </w:r>
    </w:p>
    <w:p w14:paraId="2AC63A43" w14:textId="77777777" w:rsidR="003345CA" w:rsidRDefault="0046350E">
      <w:pPr>
        <w:pStyle w:val="Heading2"/>
      </w:pPr>
      <w:bookmarkStart w:id="46" w:name="_kr8gpelxx0" w:colFirst="0" w:colLast="0"/>
      <w:bookmarkStart w:id="47" w:name="_Toc39826926"/>
      <w:bookmarkEnd w:id="46"/>
      <w:r>
        <w:t>2.2 Energy - Electricity</w:t>
      </w:r>
      <w:bookmarkEnd w:id="47"/>
    </w:p>
    <w:p w14:paraId="11B5E71F" w14:textId="2CA287A3" w:rsidR="003345CA" w:rsidRDefault="0046350E">
      <w:pPr>
        <w:pBdr>
          <w:top w:val="nil"/>
          <w:left w:val="nil"/>
          <w:bottom w:val="nil"/>
          <w:right w:val="nil"/>
          <w:between w:val="nil"/>
        </w:pBdr>
      </w:pPr>
      <w:r>
        <w:t xml:space="preserve">This section focuses on the greenhouse gases emitted in association with the consumption of electricity within the Village of Homer, NY. The data was collected through the New York Utility Energy Registry. </w:t>
      </w:r>
      <w:r w:rsidR="00FD538C">
        <w:t>All</w:t>
      </w:r>
      <w:r>
        <w:t xml:space="preserve"> months of </w:t>
      </w:r>
      <w:r w:rsidR="00B843DF">
        <w:t xml:space="preserve">commercial/industrial </w:t>
      </w:r>
      <w:r>
        <w:t>consumption data w</w:t>
      </w:r>
      <w:r w:rsidR="00FD538C">
        <w:t>ere</w:t>
      </w:r>
      <w:r>
        <w:t xml:space="preserve"> withheld</w:t>
      </w:r>
      <w:r w:rsidR="00B843DF">
        <w:t xml:space="preserve"> for</w:t>
      </w:r>
      <w:r w:rsidR="00FD538C">
        <w:t xml:space="preserve"> the village in</w:t>
      </w:r>
      <w:r w:rsidR="00B843DF">
        <w:t xml:space="preserve"> 2018</w:t>
      </w:r>
      <w:r>
        <w:t xml:space="preserve">, </w:t>
      </w:r>
      <w:r w:rsidR="00FD538C">
        <w:t>and only two months of commercial/industrial data w</w:t>
      </w:r>
      <w:r w:rsidR="00076BB3">
        <w:t>ere</w:t>
      </w:r>
      <w:r w:rsidR="00FD538C">
        <w:t xml:space="preserve"> available from 2016-2019. </w:t>
      </w:r>
      <w:r>
        <w:t xml:space="preserve">Residential </w:t>
      </w:r>
      <w:r w:rsidR="00FD538C">
        <w:t xml:space="preserve">electric </w:t>
      </w:r>
      <w:r>
        <w:t xml:space="preserve">usage </w:t>
      </w:r>
      <w:r w:rsidR="00FD538C">
        <w:t xml:space="preserve">also </w:t>
      </w:r>
      <w:r w:rsidR="00076BB3">
        <w:t>only had five months of data available for 2018</w:t>
      </w:r>
      <w:r>
        <w:t>.</w:t>
      </w:r>
      <w:r w:rsidR="00076BB3">
        <w:t xml:space="preserve"> Therefore, commercial/industrial and residential electric use information from 2016-2019 was substituted as proxy monthly data where available. Where data was not available, it was assumed that total electricity consumption minus residential electricity consumption provided by the UER equaled commercial/industrial consumption. Where data was further not available, average estimates were used based on what information was provided by the UER from </w:t>
      </w:r>
      <w:r w:rsidR="00076BB3">
        <w:lastRenderedPageBreak/>
        <w:t>2016-2019.</w:t>
      </w:r>
      <w:r>
        <w:t xml:space="preserve"> The data was </w:t>
      </w:r>
      <w:r w:rsidR="00076BB3">
        <w:t xml:space="preserve">then </w:t>
      </w:r>
      <w:r>
        <w:t xml:space="preserve">processed using the EPA </w:t>
      </w:r>
      <w:r w:rsidR="008620CA" w:rsidRPr="008620CA">
        <w:t>Local Greenhouse Gas Inventory Tool</w:t>
      </w:r>
      <w:r w:rsidR="004B2C69">
        <w:t xml:space="preserve"> using the NYUP </w:t>
      </w:r>
      <w:proofErr w:type="spellStart"/>
      <w:r w:rsidR="004B2C69">
        <w:t>eGRID</w:t>
      </w:r>
      <w:proofErr w:type="spellEnd"/>
      <w:r w:rsidR="004B2C69">
        <w:t xml:space="preserve"> factors</w:t>
      </w:r>
      <w:r>
        <w:t xml:space="preserve">. Additional information regarding the processing of this data is available in Appendix A. </w:t>
      </w:r>
    </w:p>
    <w:p w14:paraId="0A704E62" w14:textId="77777777" w:rsidR="003345CA" w:rsidRDefault="0046350E">
      <w:pPr>
        <w:pStyle w:val="Heading2"/>
      </w:pPr>
      <w:bookmarkStart w:id="48" w:name="_ljps3kyusvpb" w:colFirst="0" w:colLast="0"/>
      <w:bookmarkStart w:id="49" w:name="_Toc39826927"/>
      <w:bookmarkEnd w:id="48"/>
      <w:r>
        <w:t>2.3 Energy - Natural Gas</w:t>
      </w:r>
      <w:bookmarkEnd w:id="49"/>
    </w:p>
    <w:p w14:paraId="117BA8F9" w14:textId="554835F9" w:rsidR="003345CA" w:rsidRDefault="0046350E">
      <w:pPr>
        <w:pBdr>
          <w:top w:val="nil"/>
          <w:left w:val="nil"/>
          <w:bottom w:val="nil"/>
          <w:right w:val="nil"/>
          <w:between w:val="nil"/>
        </w:pBdr>
      </w:pPr>
      <w:r>
        <w:t xml:space="preserve">This section focuses on the greenhouse gas emissions in association with the consumption of natural gas in the Village of Homer. The data was collected through the New York Utility Energy Registry. The data was processed using the EPA </w:t>
      </w:r>
      <w:r w:rsidR="0067136B" w:rsidRPr="008620CA">
        <w:t>Local Greenhouse Gas Inventory Tool</w:t>
      </w:r>
      <w:r>
        <w:t>. Additional information regarding the processing of this data is available in Appendix B.</w:t>
      </w:r>
    </w:p>
    <w:p w14:paraId="500E01BE" w14:textId="77777777" w:rsidR="003345CA" w:rsidRDefault="0046350E">
      <w:pPr>
        <w:pStyle w:val="Heading2"/>
      </w:pPr>
      <w:bookmarkStart w:id="50" w:name="_9qq9y57gydzt" w:colFirst="0" w:colLast="0"/>
      <w:bookmarkStart w:id="51" w:name="_Toc39826928"/>
      <w:bookmarkEnd w:id="50"/>
      <w:r>
        <w:t>2.4 Transportation</w:t>
      </w:r>
      <w:bookmarkEnd w:id="51"/>
    </w:p>
    <w:p w14:paraId="4465B316" w14:textId="3DA81C8F" w:rsidR="003345CA" w:rsidRDefault="0046350E">
      <w:pPr>
        <w:pBdr>
          <w:top w:val="nil"/>
          <w:left w:val="nil"/>
          <w:bottom w:val="nil"/>
          <w:right w:val="nil"/>
          <w:between w:val="nil"/>
        </w:pBdr>
      </w:pPr>
      <w:r>
        <w:t>This section focuses on emissions associated with the use of transportation fuels used by on-road passenger and freight motor vehicles within the boundaries of the Village of Homer. In most communities, transportation is generally one of the highest contributors of greenhouse gas emissions. The combustion of fuel in motor vehicles produces CO</w:t>
      </w:r>
      <w:r>
        <w:rPr>
          <w:vertAlign w:val="subscript"/>
        </w:rPr>
        <w:t>2</w:t>
      </w:r>
      <w:r>
        <w:t>, N</w:t>
      </w:r>
      <w:r>
        <w:rPr>
          <w:vertAlign w:val="subscript"/>
        </w:rPr>
        <w:t>2</w:t>
      </w:r>
      <w:r>
        <w:t>O, and CH</w:t>
      </w:r>
      <w:r>
        <w:rPr>
          <w:vertAlign w:val="subscript"/>
        </w:rPr>
        <w:t>4</w:t>
      </w:r>
      <w:r>
        <w:t xml:space="preserve"> greenhouse gas emissions. Annual Vehicle Miles Traveled (AMVT) was determined using annual daily average traffic data and road miles within the Village of Homer. The data was processed using the EPA </w:t>
      </w:r>
      <w:r w:rsidR="0067136B" w:rsidRPr="008620CA">
        <w:t>Local Greenhouse Gas Inventory Tool</w:t>
      </w:r>
      <w:r>
        <w:t>. Additional information regarding the processing of this data is available in Appendix C.</w:t>
      </w:r>
    </w:p>
    <w:p w14:paraId="0C941D66" w14:textId="77777777" w:rsidR="003345CA" w:rsidRDefault="0046350E">
      <w:pPr>
        <w:pStyle w:val="Heading2"/>
      </w:pPr>
      <w:bookmarkStart w:id="52" w:name="_6qmq4yjumm3z" w:colFirst="0" w:colLast="0"/>
      <w:bookmarkStart w:id="53" w:name="_Toc39826929"/>
      <w:bookmarkEnd w:id="52"/>
      <w:r>
        <w:t>2.5 Solid waste</w:t>
      </w:r>
      <w:bookmarkEnd w:id="53"/>
    </w:p>
    <w:p w14:paraId="293893B2" w14:textId="0055A84F" w:rsidR="003345CA" w:rsidRDefault="0046350E">
      <w:pPr>
        <w:pBdr>
          <w:top w:val="nil"/>
          <w:left w:val="nil"/>
          <w:bottom w:val="nil"/>
          <w:right w:val="nil"/>
          <w:between w:val="nil"/>
        </w:pBdr>
      </w:pPr>
      <w:r>
        <w:t xml:space="preserve">This section focuses on the greenhouse gases associated with the decomposition of solid waste in landfills. Solid waste that is not diverted to recycling, composting, or reuse will produce multiple greenhouse gases through decomposition or incineration. This data was collected from Syracuse Haulers receipts provided by the Village Clerk. The data was then processed using </w:t>
      </w:r>
      <w:r w:rsidR="0067136B">
        <w:t xml:space="preserve">ICLEI-Local Governments for Sustainability’s </w:t>
      </w:r>
      <w:proofErr w:type="spellStart"/>
      <w:r w:rsidR="0067136B">
        <w:t>ClearPath</w:t>
      </w:r>
      <w:proofErr w:type="spellEnd"/>
      <w:r w:rsidR="0067136B">
        <w:t xml:space="preserve"> tool online, as the EPA </w:t>
      </w:r>
      <w:r w:rsidR="0067136B" w:rsidRPr="008620CA">
        <w:t>Local Greenhouse Gas Inventory Tool</w:t>
      </w:r>
      <w:r w:rsidR="0067136B">
        <w:t xml:space="preserve"> does not provide a method for calculating scope 3 waste process emissions</w:t>
      </w:r>
      <w:r>
        <w:t>. Additional information regarding the processing of this data is available in Appendix D.</w:t>
      </w:r>
    </w:p>
    <w:p w14:paraId="3547C0B9" w14:textId="77777777" w:rsidR="00071979" w:rsidRDefault="00071979">
      <w:pPr>
        <w:pStyle w:val="Heading1"/>
      </w:pPr>
      <w:bookmarkStart w:id="54" w:name="_sc5qwkrcq0bl" w:colFirst="0" w:colLast="0"/>
      <w:bookmarkEnd w:id="54"/>
    </w:p>
    <w:p w14:paraId="203EF9FE" w14:textId="236D5AF9" w:rsidR="003345CA" w:rsidRDefault="0046350E">
      <w:pPr>
        <w:pStyle w:val="Heading1"/>
      </w:pPr>
      <w:bookmarkStart w:id="55" w:name="_Toc39826930"/>
      <w:r>
        <w:t>Chapter 3: Results</w:t>
      </w:r>
      <w:bookmarkEnd w:id="55"/>
    </w:p>
    <w:p w14:paraId="2B094DBB" w14:textId="77777777" w:rsidR="003345CA" w:rsidRDefault="0046350E">
      <w:pPr>
        <w:pStyle w:val="Heading2"/>
      </w:pPr>
      <w:bookmarkStart w:id="56" w:name="_m1u3sceian8a" w:colFirst="0" w:colLast="0"/>
      <w:bookmarkStart w:id="57" w:name="_Toc39826931"/>
      <w:bookmarkEnd w:id="56"/>
      <w:r>
        <w:lastRenderedPageBreak/>
        <w:t>3.1 Community GHG Inventory</w:t>
      </w:r>
      <w:bookmarkEnd w:id="57"/>
    </w:p>
    <w:p w14:paraId="1EF7CB37" w14:textId="19E2CFE5" w:rsidR="003345CA" w:rsidRDefault="0046350E">
      <w:pPr>
        <w:pBdr>
          <w:top w:val="nil"/>
          <w:left w:val="nil"/>
          <w:bottom w:val="nil"/>
          <w:right w:val="nil"/>
          <w:between w:val="nil"/>
        </w:pBdr>
      </w:pPr>
      <w:r>
        <w:t>The community greenhouse gas emissions data has been organized into four sectors: residential, commercial/industrial, transportation, and waste</w:t>
      </w:r>
      <w:r w:rsidR="00C21331">
        <w:t>, and into five sources: electricity, natural gas, gasoline, diesel, and waste</w:t>
      </w:r>
      <w:r>
        <w:t>. Only electricity and natural gas use associated with residential and commercial/industrial activities were included as explained previously in section 2.1 and in Appendix E. Other fuel sources were very minimally used within the village and would have a negligible impact on the data within the inventory. The Homer government has varying control over different sectors of the inventory. Separating GHG emissions into sectors</w:t>
      </w:r>
      <w:r w:rsidR="00C21331">
        <w:t xml:space="preserve"> and sources</w:t>
      </w:r>
      <w:r>
        <w:t xml:space="preserve"> allows for the Village of Homer to identify significant areas of GHG emissions. The total emissions generated in the Village of Homer in 2018 was 3</w:t>
      </w:r>
      <w:r w:rsidR="00C21331">
        <w:t>0,564</w:t>
      </w:r>
      <w:r>
        <w:t xml:space="preserve"> Metric </w:t>
      </w:r>
      <w:proofErr w:type="spellStart"/>
      <w:r>
        <w:t>Tonnes</w:t>
      </w:r>
      <w:proofErr w:type="spellEnd"/>
      <w:r>
        <w:t xml:space="preserve"> of CO</w:t>
      </w:r>
      <w:r>
        <w:rPr>
          <w:vertAlign w:val="subscript"/>
        </w:rPr>
        <w:t>2</w:t>
      </w:r>
      <w:r>
        <w:t xml:space="preserve"> equivalent. The emissions for both source and sector are seen and presented below. </w:t>
      </w:r>
    </w:p>
    <w:p w14:paraId="233BAD03" w14:textId="31EB35C1" w:rsidR="003345CA" w:rsidRDefault="00C21331" w:rsidP="00071979">
      <w:pPr>
        <w:jc w:val="center"/>
        <w:rPr>
          <w:b/>
        </w:rPr>
      </w:pPr>
      <w:r>
        <w:rPr>
          <w:noProof/>
        </w:rPr>
        <w:drawing>
          <wp:inline distT="0" distB="0" distL="0" distR="0" wp14:anchorId="277A066E" wp14:editId="6890AFE7">
            <wp:extent cx="5715000" cy="3533775"/>
            <wp:effectExtent l="0" t="0" r="0" b="9525"/>
            <wp:docPr id="17" name="Chart 17" title="Chart">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E4F129" w14:textId="1CB950E0" w:rsidR="00C21331" w:rsidRDefault="00C21331" w:rsidP="00071979">
      <w:bookmarkStart w:id="58" w:name="_72687138vocu" w:colFirst="0" w:colLast="0"/>
      <w:bookmarkEnd w:id="58"/>
      <w:r>
        <w:rPr>
          <w:noProof/>
        </w:rPr>
        <w:lastRenderedPageBreak/>
        <w:drawing>
          <wp:inline distT="0" distB="0" distL="0" distR="0" wp14:anchorId="60CD716F" wp14:editId="22202435">
            <wp:extent cx="5715000" cy="3533775"/>
            <wp:effectExtent l="0" t="0" r="0" b="9525"/>
            <wp:docPr id="18" name="Chart 18" title="Chart">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6068C9" w14:textId="77777777" w:rsidR="00071979" w:rsidRPr="00071979" w:rsidRDefault="00071979" w:rsidP="00071979"/>
    <w:p w14:paraId="43691020" w14:textId="521CA4A3" w:rsidR="003345CA" w:rsidRDefault="0046350E">
      <w:pPr>
        <w:pStyle w:val="Heading2"/>
      </w:pPr>
      <w:bookmarkStart w:id="59" w:name="_Toc39826932"/>
      <w:r>
        <w:t>3.2 Residential Sector</w:t>
      </w:r>
      <w:bookmarkEnd w:id="59"/>
    </w:p>
    <w:p w14:paraId="309C72C5" w14:textId="2CA5AABB" w:rsidR="003345CA" w:rsidRDefault="0046350E">
      <w:pPr>
        <w:pBdr>
          <w:top w:val="nil"/>
          <w:left w:val="nil"/>
          <w:bottom w:val="nil"/>
          <w:right w:val="nil"/>
          <w:between w:val="nil"/>
        </w:pBdr>
        <w:rPr>
          <w:noProof/>
        </w:rPr>
      </w:pPr>
      <w:r>
        <w:t xml:space="preserve">Emissions from the residential sector </w:t>
      </w:r>
      <w:r w:rsidR="00B209B0">
        <w:t xml:space="preserve">in 2018 </w:t>
      </w:r>
      <w:r>
        <w:t>total 8,</w:t>
      </w:r>
      <w:r w:rsidR="00B209B0">
        <w:t>050</w:t>
      </w:r>
      <w:r>
        <w:t xml:space="preserve"> metric </w:t>
      </w:r>
      <w:proofErr w:type="spellStart"/>
      <w:r>
        <w:t>tonnes</w:t>
      </w:r>
      <w:proofErr w:type="spellEnd"/>
      <w:r>
        <w:t xml:space="preserve"> of </w:t>
      </w:r>
      <w:proofErr w:type="gramStart"/>
      <w:r>
        <w:t>CO</w:t>
      </w:r>
      <w:r>
        <w:rPr>
          <w:vertAlign w:val="subscript"/>
        </w:rPr>
        <w:t xml:space="preserve">2  </w:t>
      </w:r>
      <w:r>
        <w:t>equivalent</w:t>
      </w:r>
      <w:proofErr w:type="gramEnd"/>
      <w:r>
        <w:t xml:space="preserve">. </w:t>
      </w:r>
      <w:commentRangeStart w:id="60"/>
      <w:commentRangeStart w:id="61"/>
      <w:r>
        <w:t xml:space="preserve">Electricity from residential consumption contributes </w:t>
      </w:r>
      <w:r w:rsidR="00B209B0">
        <w:t>982</w:t>
      </w:r>
      <w:r>
        <w:t xml:space="preserve"> metric </w:t>
      </w:r>
      <w:proofErr w:type="spellStart"/>
      <w:r>
        <w:t>tonnes</w:t>
      </w:r>
      <w:proofErr w:type="spellEnd"/>
      <w:r>
        <w:t xml:space="preserve"> of </w:t>
      </w:r>
      <w:proofErr w:type="gramStart"/>
      <w:r>
        <w:t>CO</w:t>
      </w:r>
      <w:r>
        <w:rPr>
          <w:vertAlign w:val="subscript"/>
        </w:rPr>
        <w:t xml:space="preserve">2  </w:t>
      </w:r>
      <w:r>
        <w:t>equivalent</w:t>
      </w:r>
      <w:proofErr w:type="gramEnd"/>
      <w:r>
        <w:t xml:space="preserve">. </w:t>
      </w:r>
      <w:commentRangeEnd w:id="60"/>
      <w:r>
        <w:rPr>
          <w:rStyle w:val="CommentReference"/>
        </w:rPr>
        <w:commentReference w:id="60"/>
      </w:r>
      <w:commentRangeEnd w:id="61"/>
      <w:r w:rsidR="00F32187">
        <w:rPr>
          <w:rStyle w:val="CommentReference"/>
        </w:rPr>
        <w:commentReference w:id="61"/>
      </w:r>
      <w:r>
        <w:t xml:space="preserve">As noted previously and in Appendix A, several months of data have been withheld by the Utility Energy Registry. </w:t>
      </w:r>
      <w:r w:rsidR="00B209B0">
        <w:t>Proxy data and a</w:t>
      </w:r>
      <w:r>
        <w:t xml:space="preserve">verages were generated </w:t>
      </w:r>
      <w:r w:rsidR="00B209B0">
        <w:t>for</w:t>
      </w:r>
      <w:r>
        <w:t xml:space="preserve"> residential </w:t>
      </w:r>
      <w:r w:rsidR="00B209B0">
        <w:t>emissions estimates</w:t>
      </w:r>
      <w:r>
        <w:t xml:space="preserve">. The results shown should be taken as an estimate for the year. The use of natural gas contributes </w:t>
      </w:r>
      <w:r w:rsidR="00B209B0">
        <w:t>7,068</w:t>
      </w:r>
      <w:r>
        <w:t xml:space="preserve"> metric </w:t>
      </w:r>
      <w:proofErr w:type="spellStart"/>
      <w:r>
        <w:t>tonnes</w:t>
      </w:r>
      <w:proofErr w:type="spellEnd"/>
      <w:r>
        <w:t xml:space="preserve"> of </w:t>
      </w:r>
      <w:proofErr w:type="gramStart"/>
      <w:r>
        <w:t>CO</w:t>
      </w:r>
      <w:r>
        <w:rPr>
          <w:vertAlign w:val="subscript"/>
        </w:rPr>
        <w:t xml:space="preserve">2  </w:t>
      </w:r>
      <w:r>
        <w:t>equivalent</w:t>
      </w:r>
      <w:proofErr w:type="gramEnd"/>
      <w:r>
        <w:t>. Natural gas is the primary fuel used for household heating for the Village of Homer which is why it contributes such a large portion of annual residential energy use.</w:t>
      </w:r>
    </w:p>
    <w:p w14:paraId="2EEAC72E" w14:textId="58D0BC9B" w:rsidR="00B209B0" w:rsidRDefault="00B209B0" w:rsidP="00B209B0">
      <w:pPr>
        <w:pBdr>
          <w:top w:val="nil"/>
          <w:left w:val="nil"/>
          <w:bottom w:val="nil"/>
          <w:right w:val="nil"/>
          <w:between w:val="nil"/>
        </w:pBdr>
        <w:jc w:val="center"/>
      </w:pPr>
      <w:r>
        <w:rPr>
          <w:noProof/>
        </w:rPr>
        <w:lastRenderedPageBreak/>
        <w:drawing>
          <wp:inline distT="0" distB="0" distL="0" distR="0" wp14:anchorId="5AE07C52" wp14:editId="028E24A3">
            <wp:extent cx="5715000" cy="3533775"/>
            <wp:effectExtent l="0" t="0" r="0" b="9525"/>
            <wp:docPr id="19" name="Chart 19" title="Chart">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47BE3E" w14:textId="1669E3AE" w:rsidR="003345CA" w:rsidRDefault="0046350E">
      <w:pPr>
        <w:pStyle w:val="Heading2"/>
      </w:pPr>
      <w:bookmarkStart w:id="62" w:name="_89k6ce6ydywb" w:colFirst="0" w:colLast="0"/>
      <w:bookmarkStart w:id="63" w:name="_g3rqfkg63mis" w:colFirst="0" w:colLast="0"/>
      <w:bookmarkStart w:id="64" w:name="_Toc39826933"/>
      <w:bookmarkEnd w:id="62"/>
      <w:bookmarkEnd w:id="63"/>
      <w:r>
        <w:t>3.3 Commercial/Industrial Sector</w:t>
      </w:r>
      <w:bookmarkEnd w:id="64"/>
    </w:p>
    <w:p w14:paraId="735A37B2" w14:textId="036F5A87" w:rsidR="003345CA" w:rsidRDefault="0046350E">
      <w:pPr>
        <w:pBdr>
          <w:top w:val="nil"/>
          <w:left w:val="nil"/>
          <w:bottom w:val="nil"/>
          <w:right w:val="nil"/>
          <w:between w:val="nil"/>
        </w:pBdr>
        <w:rPr>
          <w:noProof/>
        </w:rPr>
      </w:pPr>
      <w:r>
        <w:t xml:space="preserve">Emissions from the commercial/industrial sector total </w:t>
      </w:r>
      <w:r w:rsidR="00B209B0">
        <w:t>7,210</w:t>
      </w:r>
      <w:r>
        <w:t xml:space="preserve"> metric </w:t>
      </w:r>
      <w:proofErr w:type="spellStart"/>
      <w:r>
        <w:t>tonnes</w:t>
      </w:r>
      <w:proofErr w:type="spellEnd"/>
      <w:r>
        <w:t xml:space="preserve"> of </w:t>
      </w:r>
      <w:proofErr w:type="gramStart"/>
      <w:r>
        <w:t>CO</w:t>
      </w:r>
      <w:r>
        <w:rPr>
          <w:vertAlign w:val="subscript"/>
        </w:rPr>
        <w:t xml:space="preserve">2  </w:t>
      </w:r>
      <w:r>
        <w:t>equivalent</w:t>
      </w:r>
      <w:proofErr w:type="gramEnd"/>
      <w:r>
        <w:t xml:space="preserve">. Emissions from electrical consumption contributes </w:t>
      </w:r>
      <w:r w:rsidR="00B209B0">
        <w:t xml:space="preserve">3,252 </w:t>
      </w:r>
      <w:r>
        <w:t xml:space="preserve">metric </w:t>
      </w:r>
      <w:proofErr w:type="spellStart"/>
      <w:r>
        <w:t>tonnes</w:t>
      </w:r>
      <w:proofErr w:type="spellEnd"/>
      <w:r>
        <w:t xml:space="preserve"> of </w:t>
      </w:r>
      <w:proofErr w:type="gramStart"/>
      <w:r>
        <w:t>CO</w:t>
      </w:r>
      <w:r>
        <w:rPr>
          <w:vertAlign w:val="subscript"/>
        </w:rPr>
        <w:t xml:space="preserve">2  </w:t>
      </w:r>
      <w:r>
        <w:t>equivalent</w:t>
      </w:r>
      <w:proofErr w:type="gramEnd"/>
      <w:r>
        <w:t xml:space="preserve">. As noted previously and in Appendix A, </w:t>
      </w:r>
      <w:r w:rsidR="00CB75ED">
        <w:t>commercial/industrial electric use was mostly estimated based on a lack of available data through the UER</w:t>
      </w:r>
      <w:r>
        <w:t xml:space="preserve">. </w:t>
      </w:r>
      <w:r w:rsidR="00CB75ED">
        <w:t>While this data is an estimate, it does provide useful insights into approximate electric use and emissions in the Village of Homer in 2018 and</w:t>
      </w:r>
      <w:r w:rsidR="00B209B0">
        <w:t xml:space="preserve"> </w:t>
      </w:r>
      <w:r w:rsidR="00CB75ED">
        <w:t>can be used as a starting point for a community climate action plan</w:t>
      </w:r>
      <w:r>
        <w:t xml:space="preserve">. The use of natural gas contributes </w:t>
      </w:r>
      <w:r w:rsidR="00B209B0">
        <w:t>3,958</w:t>
      </w:r>
      <w:r>
        <w:t xml:space="preserve"> metric </w:t>
      </w:r>
      <w:proofErr w:type="spellStart"/>
      <w:r>
        <w:t>tonnes</w:t>
      </w:r>
      <w:proofErr w:type="spellEnd"/>
      <w:r>
        <w:t xml:space="preserve"> of </w:t>
      </w:r>
      <w:proofErr w:type="gramStart"/>
      <w:r>
        <w:t>CO</w:t>
      </w:r>
      <w:r>
        <w:rPr>
          <w:vertAlign w:val="subscript"/>
        </w:rPr>
        <w:t xml:space="preserve">2  </w:t>
      </w:r>
      <w:r>
        <w:t>equivalent</w:t>
      </w:r>
      <w:proofErr w:type="gramEnd"/>
      <w:r>
        <w:t>.</w:t>
      </w:r>
    </w:p>
    <w:p w14:paraId="61F0AC21" w14:textId="306F453B" w:rsidR="00B209B0" w:rsidRDefault="00B209B0" w:rsidP="00B209B0">
      <w:pPr>
        <w:pBdr>
          <w:top w:val="nil"/>
          <w:left w:val="nil"/>
          <w:bottom w:val="nil"/>
          <w:right w:val="nil"/>
          <w:between w:val="nil"/>
        </w:pBdr>
        <w:jc w:val="center"/>
      </w:pPr>
      <w:r>
        <w:rPr>
          <w:noProof/>
        </w:rPr>
        <w:lastRenderedPageBreak/>
        <w:drawing>
          <wp:inline distT="0" distB="0" distL="0" distR="0" wp14:anchorId="37BFBAB5" wp14:editId="4619D86D">
            <wp:extent cx="5715000" cy="3533775"/>
            <wp:effectExtent l="0" t="0" r="0" b="9525"/>
            <wp:docPr id="21" name="Chart 21" title="Chart">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2F2606" w14:textId="77777777" w:rsidR="003345CA" w:rsidRDefault="0046350E">
      <w:pPr>
        <w:pStyle w:val="Heading2"/>
      </w:pPr>
      <w:bookmarkStart w:id="65" w:name="_l3hvdgrm9lh9" w:colFirst="0" w:colLast="0"/>
      <w:bookmarkStart w:id="66" w:name="_f1mzg9ykvdg8" w:colFirst="0" w:colLast="0"/>
      <w:bookmarkStart w:id="67" w:name="_l9ej6kr14383" w:colFirst="0" w:colLast="0"/>
      <w:bookmarkStart w:id="68" w:name="_rs1z33530ksf" w:colFirst="0" w:colLast="0"/>
      <w:bookmarkStart w:id="69" w:name="_Toc39826934"/>
      <w:bookmarkEnd w:id="65"/>
      <w:bookmarkEnd w:id="66"/>
      <w:bookmarkEnd w:id="67"/>
      <w:bookmarkEnd w:id="68"/>
      <w:r>
        <w:t>3.4 Transportation</w:t>
      </w:r>
      <w:bookmarkEnd w:id="69"/>
    </w:p>
    <w:p w14:paraId="33D27119" w14:textId="030B1512" w:rsidR="003345CA" w:rsidRDefault="0046350E">
      <w:pPr>
        <w:pBdr>
          <w:top w:val="nil"/>
          <w:left w:val="nil"/>
          <w:bottom w:val="nil"/>
          <w:right w:val="nil"/>
          <w:between w:val="nil"/>
        </w:pBdr>
      </w:pPr>
      <w:r>
        <w:t>On-road passenger and freight motor vehicle travel contribute</w:t>
      </w:r>
      <w:r w:rsidR="00E45301">
        <w:t>d</w:t>
      </w:r>
      <w:r>
        <w:t xml:space="preserve"> the most significant portion of GHG emissions in the Village of Homer</w:t>
      </w:r>
      <w:r w:rsidR="00E45301">
        <w:t xml:space="preserve"> in 2018</w:t>
      </w:r>
      <w:r>
        <w:t xml:space="preserve">, emitting </w:t>
      </w:r>
      <w:r w:rsidR="00E45301">
        <w:t>15,081</w:t>
      </w:r>
      <w:r>
        <w:t xml:space="preserve"> metric </w:t>
      </w:r>
      <w:proofErr w:type="spellStart"/>
      <w:r>
        <w:t>tonnes</w:t>
      </w:r>
      <w:proofErr w:type="spellEnd"/>
      <w:r>
        <w:t xml:space="preserve"> of CO</w:t>
      </w:r>
      <w:r>
        <w:rPr>
          <w:vertAlign w:val="subscript"/>
        </w:rPr>
        <w:t>2</w:t>
      </w:r>
      <w:r>
        <w:t xml:space="preserve"> equivalent which accounts for </w:t>
      </w:r>
      <w:r w:rsidR="00E45301">
        <w:t>49</w:t>
      </w:r>
      <w:r>
        <w:t xml:space="preserve">% of total GHG emissions for the Village of Homer. </w:t>
      </w:r>
      <w:r w:rsidR="00AA7C87">
        <w:t>Much of the transportation emissions in the Village of Homer can be attributed to vehicles traveling on I-81 through the village. These emissions have been included because there are on/off ramps within the village, so all travel on I-81 is not pass-through traffic</w:t>
      </w:r>
      <w:r>
        <w:t>.</w:t>
      </w:r>
      <w:r w:rsidR="00AA7C87">
        <w:t xml:space="preserve"> It is not possible given available information to estimate what percentage of trips in I-81 begin/end within the village boundaries, so all emissions from I-81 travel within the village are included in this inventory.</w:t>
      </w:r>
    </w:p>
    <w:p w14:paraId="5B340C2F" w14:textId="5AC7F979" w:rsidR="00AA7C87" w:rsidRDefault="00AA7C87">
      <w:pPr>
        <w:pBdr>
          <w:top w:val="nil"/>
          <w:left w:val="nil"/>
          <w:bottom w:val="nil"/>
          <w:right w:val="nil"/>
          <w:between w:val="nil"/>
        </w:pBdr>
      </w:pPr>
      <w:r>
        <w:t>Gasoline vehicles contributed to 13,321 MTCO2e while diesel vehicles contributed to 1,760 MTCO2e in 2018. Appendix C explains the methodology for calculating emissions from transportation in more detail.</w:t>
      </w:r>
    </w:p>
    <w:p w14:paraId="44BA7943" w14:textId="226543E1" w:rsidR="00AA7C87" w:rsidRDefault="00AA7C87" w:rsidP="00AA7C87">
      <w:pPr>
        <w:pBdr>
          <w:top w:val="nil"/>
          <w:left w:val="nil"/>
          <w:bottom w:val="nil"/>
          <w:right w:val="nil"/>
          <w:between w:val="nil"/>
        </w:pBdr>
        <w:jc w:val="center"/>
      </w:pPr>
      <w:r>
        <w:rPr>
          <w:noProof/>
        </w:rPr>
        <w:lastRenderedPageBreak/>
        <w:drawing>
          <wp:inline distT="0" distB="0" distL="0" distR="0" wp14:anchorId="21E9CA02" wp14:editId="20F77C34">
            <wp:extent cx="4572000" cy="2743200"/>
            <wp:effectExtent l="0" t="0" r="0" b="0"/>
            <wp:docPr id="22" name="Chart 22">
              <a:extLst xmlns:a="http://schemas.openxmlformats.org/drawingml/2006/main">
                <a:ext uri="{FF2B5EF4-FFF2-40B4-BE49-F238E27FC236}">
                  <a16:creationId xmlns:a16="http://schemas.microsoft.com/office/drawing/2014/main" id="{B4B9B20D-8908-4685-BEB8-FF03737D2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499969" w14:textId="77777777" w:rsidR="003345CA" w:rsidRDefault="0046350E">
      <w:pPr>
        <w:pStyle w:val="Heading2"/>
      </w:pPr>
      <w:bookmarkStart w:id="70" w:name="_vje750g1e5je" w:colFirst="0" w:colLast="0"/>
      <w:bookmarkStart w:id="71" w:name="_Toc39826935"/>
      <w:bookmarkEnd w:id="70"/>
      <w:r>
        <w:t>3.5 Solid Waste</w:t>
      </w:r>
      <w:bookmarkEnd w:id="71"/>
    </w:p>
    <w:p w14:paraId="418F1601" w14:textId="6B5289CB" w:rsidR="003345CA" w:rsidRDefault="00AA7C87">
      <w:pPr>
        <w:pBdr>
          <w:top w:val="nil"/>
          <w:left w:val="nil"/>
          <w:bottom w:val="nil"/>
          <w:right w:val="nil"/>
          <w:between w:val="nil"/>
        </w:pBdr>
      </w:pPr>
      <w:r>
        <w:t>Greenhouse</w:t>
      </w:r>
      <w:r w:rsidR="0046350E">
        <w:t xml:space="preserve"> gases resulting from the processing of solid waste account for the smallest portion of GHG emissions in Homer at </w:t>
      </w:r>
      <w:r>
        <w:t>.73</w:t>
      </w:r>
      <w:r w:rsidR="0046350E">
        <w:t>%. The waste data was provided as tons of waste collected and was not divided into waste types</w:t>
      </w:r>
      <w:r>
        <w:t>, so calculations were based on ICLEI’s default mix of waste types</w:t>
      </w:r>
      <w:r w:rsidR="0046350E">
        <w:t xml:space="preserve">. The results calculated show the emissions for total waste collected in </w:t>
      </w:r>
      <w:r>
        <w:t xml:space="preserve">the Village of </w:t>
      </w:r>
      <w:r w:rsidR="0046350E">
        <w:t xml:space="preserve">Homer. The total GHG emissions for solid waste </w:t>
      </w:r>
      <w:r>
        <w:t xml:space="preserve">in 2018 </w:t>
      </w:r>
      <w:proofErr w:type="gramStart"/>
      <w:r>
        <w:t>is</w:t>
      </w:r>
      <w:proofErr w:type="gramEnd"/>
      <w:r w:rsidR="0046350E">
        <w:t xml:space="preserve"> 2</w:t>
      </w:r>
      <w:r>
        <w:t>22</w:t>
      </w:r>
      <w:r w:rsidR="0046350E">
        <w:t xml:space="preserve"> metric </w:t>
      </w:r>
      <w:proofErr w:type="spellStart"/>
      <w:r w:rsidR="0046350E">
        <w:t>tonnes</w:t>
      </w:r>
      <w:proofErr w:type="spellEnd"/>
      <w:r w:rsidR="0046350E">
        <w:t xml:space="preserve"> of CO</w:t>
      </w:r>
      <w:r w:rsidR="0046350E">
        <w:rPr>
          <w:vertAlign w:val="subscript"/>
        </w:rPr>
        <w:t>2</w:t>
      </w:r>
      <w:r w:rsidR="0046350E">
        <w:t xml:space="preserve"> equivalent. There is a peak in July of 92.19 tons collected, and a low in March of 38.44 tons collected. </w:t>
      </w:r>
    </w:p>
    <w:p w14:paraId="587D12D3" w14:textId="5B9680B9" w:rsidR="00071979" w:rsidRDefault="00071979">
      <w:pPr>
        <w:pBdr>
          <w:top w:val="nil"/>
          <w:left w:val="nil"/>
          <w:bottom w:val="nil"/>
          <w:right w:val="nil"/>
          <w:between w:val="nil"/>
        </w:pBdr>
      </w:pPr>
    </w:p>
    <w:p w14:paraId="37D527F4" w14:textId="3F476368" w:rsidR="00071979" w:rsidRDefault="00071979">
      <w:pPr>
        <w:pBdr>
          <w:top w:val="nil"/>
          <w:left w:val="nil"/>
          <w:bottom w:val="nil"/>
          <w:right w:val="nil"/>
          <w:between w:val="nil"/>
        </w:pBdr>
      </w:pPr>
    </w:p>
    <w:p w14:paraId="30BD6772" w14:textId="6F60E6EF" w:rsidR="00071979" w:rsidRDefault="00071979">
      <w:pPr>
        <w:pBdr>
          <w:top w:val="nil"/>
          <w:left w:val="nil"/>
          <w:bottom w:val="nil"/>
          <w:right w:val="nil"/>
          <w:between w:val="nil"/>
        </w:pBdr>
      </w:pPr>
    </w:p>
    <w:p w14:paraId="73885090" w14:textId="77777777" w:rsidR="00071979" w:rsidRDefault="00071979">
      <w:pPr>
        <w:pBdr>
          <w:top w:val="nil"/>
          <w:left w:val="nil"/>
          <w:bottom w:val="nil"/>
          <w:right w:val="nil"/>
          <w:between w:val="nil"/>
        </w:pBdr>
        <w:rPr>
          <w:b/>
        </w:rPr>
      </w:pPr>
    </w:p>
    <w:p w14:paraId="294BFB6F" w14:textId="77777777" w:rsidR="003345CA" w:rsidRDefault="0046350E">
      <w:pPr>
        <w:pStyle w:val="Heading2"/>
      </w:pPr>
      <w:bookmarkStart w:id="72" w:name="_5o8syh2wm6uw" w:colFirst="0" w:colLast="0"/>
      <w:bookmarkStart w:id="73" w:name="_Toc39826936"/>
      <w:bookmarkEnd w:id="72"/>
      <w:r>
        <w:t>3.6 Annual Per Capita GHG Impact</w:t>
      </w:r>
      <w:bookmarkEnd w:id="73"/>
    </w:p>
    <w:p w14:paraId="62F98759" w14:textId="20953306" w:rsidR="003345CA" w:rsidRDefault="00AA7C87" w:rsidP="00071979">
      <w:pPr>
        <w:pBdr>
          <w:top w:val="nil"/>
          <w:left w:val="nil"/>
          <w:bottom w:val="nil"/>
          <w:right w:val="nil"/>
          <w:between w:val="nil"/>
        </w:pBdr>
        <w:jc w:val="center"/>
      </w:pPr>
      <w:r>
        <w:rPr>
          <w:noProof/>
        </w:rPr>
        <w:lastRenderedPageBreak/>
        <w:drawing>
          <wp:inline distT="0" distB="0" distL="0" distR="0" wp14:anchorId="16D32275" wp14:editId="17C6529A">
            <wp:extent cx="5715000" cy="3533775"/>
            <wp:effectExtent l="0" t="0" r="0" b="9525"/>
            <wp:docPr id="23" name="Chart 23" title="Chart">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CA39C0" w14:textId="0A3645BE" w:rsidR="003345CA" w:rsidRDefault="0046350E">
      <w:pPr>
        <w:pBdr>
          <w:top w:val="nil"/>
          <w:left w:val="nil"/>
          <w:bottom w:val="nil"/>
          <w:right w:val="nil"/>
          <w:between w:val="nil"/>
        </w:pBdr>
      </w:pPr>
      <w:r>
        <w:t xml:space="preserve">When examining per capita GHG emissions of metric </w:t>
      </w:r>
      <w:proofErr w:type="spellStart"/>
      <w:r>
        <w:t>tonnes</w:t>
      </w:r>
      <w:proofErr w:type="spellEnd"/>
      <w:r>
        <w:t xml:space="preserve"> of CO</w:t>
      </w:r>
      <w:r>
        <w:rPr>
          <w:vertAlign w:val="subscript"/>
        </w:rPr>
        <w:t>2</w:t>
      </w:r>
      <w:r>
        <w:t xml:space="preserve"> equivalent, the Village of Homer is around 50 percent below the national average at </w:t>
      </w:r>
      <w:r w:rsidR="00763E52">
        <w:t>9.8</w:t>
      </w:r>
      <w:r>
        <w:t xml:space="preserve"> metric </w:t>
      </w:r>
      <w:proofErr w:type="spellStart"/>
      <w:r>
        <w:t>tonnes</w:t>
      </w:r>
      <w:proofErr w:type="spellEnd"/>
      <w:r>
        <w:t xml:space="preserve"> of CO</w:t>
      </w:r>
      <w:r>
        <w:rPr>
          <w:vertAlign w:val="subscript"/>
        </w:rPr>
        <w:t>2</w:t>
      </w:r>
      <w:r>
        <w:t xml:space="preserve"> equivalent per capita, with the national average being 20 metric </w:t>
      </w:r>
      <w:proofErr w:type="spellStart"/>
      <w:r>
        <w:t>tonnes</w:t>
      </w:r>
      <w:proofErr w:type="spellEnd"/>
      <w:r>
        <w:t xml:space="preserve"> of CO</w:t>
      </w:r>
      <w:r>
        <w:rPr>
          <w:vertAlign w:val="subscript"/>
        </w:rPr>
        <w:t>2</w:t>
      </w:r>
      <w:r>
        <w:t xml:space="preserve"> equivalent per capita (Massachusetts Institute of Technology, 2008).  However, when examined on a global scale, The Village of Homer emits around 2.5 times more than the global average.</w:t>
      </w:r>
      <w:r w:rsidR="00763E52">
        <w:t xml:space="preserve"> The Village of Homer’s community emissions are also about 2.5 times greater than another similarly-sized community in Central New York, the Village of Minoa. However, it should be noted that Minoa’s transportation emissions are significantly less than Homer’s, given that no major interstate highway runs through Minoa as I-81 does in Homer. Commercial/Industrial emissions in Minoa are also much less than in Homer, which has more businesses within municipal boundaries.</w:t>
      </w:r>
    </w:p>
    <w:p w14:paraId="52E2607E" w14:textId="77777777" w:rsidR="00071979" w:rsidRDefault="00071979">
      <w:pPr>
        <w:rPr>
          <w:b/>
          <w:sz w:val="32"/>
          <w:szCs w:val="32"/>
        </w:rPr>
      </w:pPr>
      <w:bookmarkStart w:id="74" w:name="_mz75rsq9ybih" w:colFirst="0" w:colLast="0"/>
      <w:bookmarkEnd w:id="74"/>
      <w:r>
        <w:br w:type="page"/>
      </w:r>
    </w:p>
    <w:p w14:paraId="7E163B1C" w14:textId="28E0CB42" w:rsidR="003345CA" w:rsidRDefault="0046350E">
      <w:pPr>
        <w:pStyle w:val="Heading1"/>
      </w:pPr>
      <w:bookmarkStart w:id="75" w:name="_Toc39826937"/>
      <w:r>
        <w:lastRenderedPageBreak/>
        <w:t>Chapter 4: Analysis and Recommendations</w:t>
      </w:r>
      <w:bookmarkEnd w:id="75"/>
    </w:p>
    <w:p w14:paraId="35E6A280" w14:textId="77777777" w:rsidR="003345CA" w:rsidRDefault="0046350E">
      <w:pPr>
        <w:pStyle w:val="Heading2"/>
      </w:pPr>
      <w:bookmarkStart w:id="76" w:name="_wm6q2zjm86nq" w:colFirst="0" w:colLast="0"/>
      <w:bookmarkStart w:id="77" w:name="_Toc39826938"/>
      <w:bookmarkEnd w:id="76"/>
      <w:r>
        <w:t>4.1 Energy - Electricity</w:t>
      </w:r>
      <w:bookmarkEnd w:id="77"/>
      <w:r>
        <w:t xml:space="preserve"> </w:t>
      </w:r>
    </w:p>
    <w:p w14:paraId="6BF4CFC1" w14:textId="015C8D90" w:rsidR="003345CA" w:rsidRDefault="0046350E">
      <w:pPr>
        <w:pBdr>
          <w:top w:val="nil"/>
          <w:left w:val="nil"/>
          <w:bottom w:val="nil"/>
          <w:right w:val="nil"/>
          <w:between w:val="nil"/>
        </w:pBdr>
      </w:pPr>
      <w:r>
        <w:t xml:space="preserve">Electricity accounts for the third highest </w:t>
      </w:r>
      <w:r w:rsidR="00A97A2E">
        <w:t xml:space="preserve">source of </w:t>
      </w:r>
      <w:r>
        <w:t xml:space="preserve">GHG </w:t>
      </w:r>
      <w:r w:rsidR="00A97A2E">
        <w:t>emissions</w:t>
      </w:r>
      <w:r>
        <w:t xml:space="preserve"> within the Village of Homer, responsible for </w:t>
      </w:r>
      <w:r w:rsidR="00A97A2E">
        <w:t>13.85</w:t>
      </w:r>
      <w:r>
        <w:t>% of total emissions. The use of electricity fluctuates greatly over the course of a year, and it is worthwhile to examine this trend and evaluate how reduction efforts might be implemented. As found in the data tables, energy consumption peaked in January at 4088.56 MWh. This can be potentially explained through a variety of reasons: the increased use of space heaters to provide warmth; the increased use of light sources; or, increased use of kitchen equipment. There is insufficient information to determine which reason may be the cause of this increased use. A recommendation for future community inventories is to develop a survey for the Homer community designed to identify areas of increased electricity use within winter months. The results of this survey could then be used to develop community goals and potentially prepare community resources that would mitigate electricity consumption within winter months.</w:t>
      </w:r>
    </w:p>
    <w:p w14:paraId="29D3155A" w14:textId="38A21531" w:rsidR="003345CA" w:rsidRDefault="0046350E">
      <w:pPr>
        <w:pBdr>
          <w:top w:val="nil"/>
          <w:left w:val="nil"/>
          <w:bottom w:val="nil"/>
          <w:right w:val="nil"/>
          <w:between w:val="nil"/>
        </w:pBdr>
      </w:pPr>
      <w:r>
        <w:t>The month of August exhibits similar energy consumption as January, with 3828.70 MWh. This increased use may be attributed to increased use of air conditioners, fans, or other cooling needs. A survey intended to establish the numerical use of these cooling methods may provide the Village of Homer the impetus to develop mitigation strategies for the future.</w:t>
      </w:r>
    </w:p>
    <w:p w14:paraId="21E6E973" w14:textId="5146A4FB" w:rsidR="003345CA" w:rsidRDefault="0046350E">
      <w:r>
        <w:t xml:space="preserve">As </w:t>
      </w:r>
      <w:r w:rsidR="00091FC4">
        <w:t xml:space="preserve">noted above, </w:t>
      </w:r>
      <w:r>
        <w:t xml:space="preserve">a considerable portion of </w:t>
      </w:r>
      <w:r w:rsidR="00091FC4">
        <w:t>electric use</w:t>
      </w:r>
      <w:r>
        <w:t xml:space="preserve"> data was inaccessible </w:t>
      </w:r>
      <w:r w:rsidR="00091FC4">
        <w:t>via the Utility Energy Registry</w:t>
      </w:r>
      <w:r>
        <w:t xml:space="preserve">, </w:t>
      </w:r>
      <w:r w:rsidR="00091FC4">
        <w:t>so a</w:t>
      </w:r>
      <w:r>
        <w:t xml:space="preserve"> recommendation is to encourage the Utility Energy Registry to mandate increased reporting of data to allow inventory reports such as this to better interpret data and set goals for emissions reductions in other communities throughout New York State.</w:t>
      </w:r>
    </w:p>
    <w:p w14:paraId="76F33327" w14:textId="77777777" w:rsidR="003345CA" w:rsidRDefault="0046350E">
      <w:pPr>
        <w:pStyle w:val="Heading2"/>
      </w:pPr>
      <w:bookmarkStart w:id="78" w:name="_cu3q6o4v86w5" w:colFirst="0" w:colLast="0"/>
      <w:bookmarkStart w:id="79" w:name="_fzikl3fz612h" w:colFirst="0" w:colLast="0"/>
      <w:bookmarkStart w:id="80" w:name="_Toc39826939"/>
      <w:bookmarkEnd w:id="78"/>
      <w:bookmarkEnd w:id="79"/>
      <w:r>
        <w:t>4.2 Energy - Natural Gas</w:t>
      </w:r>
      <w:bookmarkEnd w:id="80"/>
    </w:p>
    <w:p w14:paraId="6AFE5B2C" w14:textId="6E15D267" w:rsidR="003345CA" w:rsidRDefault="0046350E">
      <w:pPr>
        <w:pBdr>
          <w:top w:val="nil"/>
          <w:left w:val="nil"/>
          <w:bottom w:val="nil"/>
          <w:right w:val="nil"/>
          <w:between w:val="nil"/>
        </w:pBdr>
      </w:pPr>
      <w:r>
        <w:t xml:space="preserve">Natural gas accounts for the second largest </w:t>
      </w:r>
      <w:r w:rsidR="00A97A2E">
        <w:t xml:space="preserve">source </w:t>
      </w:r>
      <w:r>
        <w:t>contribution of GHG within the Village of Homer</w:t>
      </w:r>
      <w:r w:rsidR="00A97A2E">
        <w:t>, at 36% of emissions</w:t>
      </w:r>
      <w:r>
        <w:t xml:space="preserve">. Residential use accounts for most of natural gas consumption when compared to </w:t>
      </w:r>
      <w:r w:rsidR="007D1347">
        <w:t>commercial/industrial uses</w:t>
      </w:r>
      <w:r>
        <w:t xml:space="preserve">. Consumption of natural gas spikes in the winter months and plummets during the summer months. According to the 2018 American Community Survey, natural gas is the primary source of heating for Homer residences, supplying 86% of homes. </w:t>
      </w:r>
    </w:p>
    <w:p w14:paraId="3AFC9880" w14:textId="77777777" w:rsidR="003345CA" w:rsidRDefault="0046350E">
      <w:pPr>
        <w:pBdr>
          <w:top w:val="nil"/>
          <w:left w:val="nil"/>
          <w:bottom w:val="nil"/>
          <w:right w:val="nil"/>
          <w:between w:val="nil"/>
        </w:pBdr>
      </w:pPr>
      <w:r>
        <w:lastRenderedPageBreak/>
        <w:t>Given the state of natural gas consumption within the Village of Homer, this provides significant opportunity to capitalize on mitigation methods. One recommendation is to develop a program of ongoing assessments of residential households and businesses for efficiency measures. Regular inspection can reduce inefficiencies through identification of structural opportunities such as improving insulation, filling in gaps, and updating windows. If the Village of Homer were to partner with a local contractor, residents could have their utility costs reduced while developing a long-term partnership with a local business.</w:t>
      </w:r>
    </w:p>
    <w:p w14:paraId="07734789" w14:textId="77777777" w:rsidR="003345CA" w:rsidRDefault="0046350E">
      <w:pPr>
        <w:pBdr>
          <w:top w:val="nil"/>
          <w:left w:val="nil"/>
          <w:bottom w:val="nil"/>
          <w:right w:val="nil"/>
          <w:between w:val="nil"/>
        </w:pBdr>
      </w:pPr>
      <w:r>
        <w:t>Through working with NYSERDA, it is possible for the Village of Homer to assist residents in finding rebate programs that allow small businesses and not-for-profits to conduct energy assessments with a cost-share by the state (Energy Assessments, n.d.).</w:t>
      </w:r>
    </w:p>
    <w:p w14:paraId="6C8C0EDC" w14:textId="77777777" w:rsidR="003345CA" w:rsidRDefault="0046350E">
      <w:pPr>
        <w:pStyle w:val="Heading2"/>
      </w:pPr>
      <w:bookmarkStart w:id="81" w:name="_dxmtxet9qn80" w:colFirst="0" w:colLast="0"/>
      <w:bookmarkStart w:id="82" w:name="_Toc39826940"/>
      <w:bookmarkEnd w:id="81"/>
      <w:r>
        <w:t>4.3 Transportation</w:t>
      </w:r>
      <w:bookmarkEnd w:id="82"/>
    </w:p>
    <w:p w14:paraId="542301AF" w14:textId="5CF66ED3" w:rsidR="003345CA" w:rsidRDefault="0046350E">
      <w:pPr>
        <w:pBdr>
          <w:top w:val="nil"/>
          <w:left w:val="nil"/>
          <w:bottom w:val="nil"/>
          <w:right w:val="nil"/>
          <w:between w:val="nil"/>
        </w:pBdr>
      </w:pPr>
      <w:r>
        <w:t xml:space="preserve">Transportation in the Village of Homer contributed most to overall greenhouse gas emissions, </w:t>
      </w:r>
      <w:r w:rsidR="00A97A2E">
        <w:t xml:space="preserve">with gasoline emissions </w:t>
      </w:r>
      <w:r>
        <w:t>accounting for 4</w:t>
      </w:r>
      <w:r w:rsidR="00A97A2E">
        <w:t>3</w:t>
      </w:r>
      <w:r>
        <w:t>.</w:t>
      </w:r>
      <w:r w:rsidR="00A97A2E">
        <w:t>5</w:t>
      </w:r>
      <w:r>
        <w:t xml:space="preserve">8% </w:t>
      </w:r>
      <w:r w:rsidR="00A97A2E">
        <w:t>of source emissions</w:t>
      </w:r>
      <w:r w:rsidR="00E42E21">
        <w:t xml:space="preserve"> and diesel accounting for 5.76%</w:t>
      </w:r>
      <w:r>
        <w:t>. The majority of emissions come from passenger vehicles. While local governments don’t have the ability to implement policy to require certain behaviors, they have the ability to develop infrastructure that encourages alternate forms of transportation such as bicycles. One recommendation for the Village of Homer to reduce vehicle miles traveled is to improve bicycle infrastructure throughout the village. As a small village, approximately 1.9 square miles, Homer has an opportunity to incentivize bicycle travel, reducing greenhouse gas emissions from vehicles. Homer currently has two bike routes, and it is aiming to improve its bicycle infrastructure in the future. This action should be prioritized, as vehicle emissions account for the most significant portion of greenhouse gas emissions for the Village of Homer in 2018.</w:t>
      </w:r>
    </w:p>
    <w:p w14:paraId="5E0488D7" w14:textId="77777777" w:rsidR="003345CA" w:rsidRDefault="0046350E">
      <w:pPr>
        <w:pStyle w:val="Heading2"/>
      </w:pPr>
      <w:bookmarkStart w:id="83" w:name="_tq535apcv1v7" w:colFirst="0" w:colLast="0"/>
      <w:bookmarkStart w:id="84" w:name="_Toc39826941"/>
      <w:bookmarkEnd w:id="83"/>
      <w:r>
        <w:t>4.4 Solid Waste</w:t>
      </w:r>
      <w:bookmarkEnd w:id="84"/>
    </w:p>
    <w:p w14:paraId="6F027A04" w14:textId="38F66D2D" w:rsidR="003345CA" w:rsidRDefault="0046350E">
      <w:pPr>
        <w:pBdr>
          <w:top w:val="nil"/>
          <w:left w:val="nil"/>
          <w:bottom w:val="nil"/>
          <w:right w:val="nil"/>
          <w:between w:val="nil"/>
        </w:pBdr>
      </w:pPr>
      <w:r>
        <w:t>Solid Waste accounted for the least significant portion of overall greenhouse gas emissions for the Village of Homer in 2018</w:t>
      </w:r>
      <w:r w:rsidR="00E42E21">
        <w:t>, at only 0.73% of emissions</w:t>
      </w:r>
      <w:r>
        <w:t xml:space="preserve">. While solid waste was the lowest contributor of greenhouse gas emissions, there is still room for improvement. The Village of Homer has implemented a program for residents to purchase The Earth Machine, which is a machine to allow for home composting. The village purchased these machines in bulk at cost, and allowed residents to buy them for $41.77. The first 100 of these machines sold out, indicating significant interest in home compost. Waste in landfills emits a significant amount of methane, which is one of the strongest greenhouse gasses. </w:t>
      </w:r>
      <w:r>
        <w:lastRenderedPageBreak/>
        <w:t>Increasing composting throughout the Village of Homer can help reduce the amount of waste taken to landfills, therefore reducing methane emissions. Our recommendation is to expand the home composting program to allow more residents to purchase The Earth Machine. The Village could offer these machines at a reduced or free rate to residents who aren’t able to afford purchasing a machine and are interested in home composting. The village could also add an educational section on their website to inform residents who can’t afford the machines how to compost at home without one.</w:t>
      </w:r>
    </w:p>
    <w:p w14:paraId="0DD46C7F" w14:textId="77777777" w:rsidR="003345CA" w:rsidRDefault="0046350E">
      <w:pPr>
        <w:pStyle w:val="Heading1"/>
      </w:pPr>
      <w:bookmarkStart w:id="85" w:name="_6d6yiu31dcmq" w:colFirst="0" w:colLast="0"/>
      <w:bookmarkStart w:id="86" w:name="_k1gu9yuaefm" w:colFirst="0" w:colLast="0"/>
      <w:bookmarkStart w:id="87" w:name="_5eauoxxja44j" w:colFirst="0" w:colLast="0"/>
      <w:bookmarkStart w:id="88" w:name="_sp292vgtww7z" w:colFirst="0" w:colLast="0"/>
      <w:bookmarkStart w:id="89" w:name="_kgg0ipn447es" w:colFirst="0" w:colLast="0"/>
      <w:bookmarkStart w:id="90" w:name="_i48n8990oqy6" w:colFirst="0" w:colLast="0"/>
      <w:bookmarkStart w:id="91" w:name="_hkx620mrvjhi" w:colFirst="0" w:colLast="0"/>
      <w:bookmarkStart w:id="92" w:name="_Toc39826942"/>
      <w:bookmarkEnd w:id="85"/>
      <w:bookmarkEnd w:id="86"/>
      <w:bookmarkEnd w:id="87"/>
      <w:bookmarkEnd w:id="88"/>
      <w:bookmarkEnd w:id="89"/>
      <w:bookmarkEnd w:id="90"/>
      <w:bookmarkEnd w:id="91"/>
      <w:r>
        <w:t>Chapter 5: Conclusion</w:t>
      </w:r>
      <w:bookmarkEnd w:id="92"/>
    </w:p>
    <w:p w14:paraId="2952FA50" w14:textId="67B6EBF6" w:rsidR="003345CA" w:rsidRDefault="0046350E">
      <w:pPr>
        <w:pBdr>
          <w:top w:val="nil"/>
          <w:left w:val="nil"/>
          <w:bottom w:val="nil"/>
          <w:right w:val="nil"/>
          <w:between w:val="nil"/>
        </w:pBdr>
      </w:pPr>
      <w:r>
        <w:t>The development of a community inventory report is a significant step in the New York State Climate Smart Communities program.  As such, developing a robust and persistent method for regular production of a community inventory report is the final recommendation of this report. Serious steps have already been taken by the establishment of a Climate Smart Communities Task Force and the previous production of a government greenhouse gas inventory</w:t>
      </w:r>
      <w:r w:rsidR="007D1347">
        <w:t xml:space="preserve"> and climate action plan</w:t>
      </w:r>
      <w:r>
        <w:t>. The success of the home composting program highlights the potential of community integrated approaches to reducing GHG emissions. Additional opportunities exist with the development and proliferation of educational programs designed to highlight financial savings and community development.</w:t>
      </w:r>
    </w:p>
    <w:p w14:paraId="6F598F0C" w14:textId="47B085C2" w:rsidR="003345CA" w:rsidRDefault="0046350E">
      <w:pPr>
        <w:pBdr>
          <w:top w:val="nil"/>
          <w:left w:val="nil"/>
          <w:bottom w:val="nil"/>
          <w:right w:val="nil"/>
          <w:between w:val="nil"/>
        </w:pBdr>
      </w:pPr>
      <w:r>
        <w:t xml:space="preserve">The Village of Homer stands well prepared to approach further engagement with the community and engage with the State of New York to become </w:t>
      </w:r>
      <w:r w:rsidR="007D1347">
        <w:t>a certified</w:t>
      </w:r>
      <w:r>
        <w:t xml:space="preserve"> Climate Smart Community.</w:t>
      </w:r>
    </w:p>
    <w:p w14:paraId="3C964AD9" w14:textId="77777777" w:rsidR="00071979" w:rsidRDefault="00071979">
      <w:pPr>
        <w:pStyle w:val="Heading1"/>
      </w:pPr>
      <w:bookmarkStart w:id="93" w:name="_du3okadev9sr" w:colFirst="0" w:colLast="0"/>
      <w:bookmarkStart w:id="94" w:name="_mv2okg4muda5" w:colFirst="0" w:colLast="0"/>
      <w:bookmarkStart w:id="95" w:name="_l2em8ahiz0ev" w:colFirst="0" w:colLast="0"/>
      <w:bookmarkStart w:id="96" w:name="_cks961k1z3op" w:colFirst="0" w:colLast="0"/>
      <w:bookmarkStart w:id="97" w:name="_udh9nd74d4op" w:colFirst="0" w:colLast="0"/>
      <w:bookmarkStart w:id="98" w:name="_io8db60sh9" w:colFirst="0" w:colLast="0"/>
      <w:bookmarkStart w:id="99" w:name="_z4z2oytgjkrg" w:colFirst="0" w:colLast="0"/>
      <w:bookmarkStart w:id="100" w:name="_3euedl8fpmmv" w:colFirst="0" w:colLast="0"/>
      <w:bookmarkStart w:id="101" w:name="_hk5rpkaplfm5" w:colFirst="0" w:colLast="0"/>
      <w:bookmarkEnd w:id="93"/>
      <w:bookmarkEnd w:id="94"/>
      <w:bookmarkEnd w:id="95"/>
      <w:bookmarkEnd w:id="96"/>
      <w:bookmarkEnd w:id="97"/>
      <w:bookmarkEnd w:id="98"/>
      <w:bookmarkEnd w:id="99"/>
      <w:bookmarkEnd w:id="100"/>
      <w:bookmarkEnd w:id="101"/>
    </w:p>
    <w:p w14:paraId="520EC969" w14:textId="33B1870A" w:rsidR="003345CA" w:rsidRDefault="0046350E">
      <w:pPr>
        <w:pStyle w:val="Heading1"/>
      </w:pPr>
      <w:bookmarkStart w:id="102" w:name="_Toc39826943"/>
      <w:r>
        <w:t>Appendices</w:t>
      </w:r>
      <w:bookmarkEnd w:id="102"/>
    </w:p>
    <w:p w14:paraId="1C51A780" w14:textId="77777777" w:rsidR="003345CA" w:rsidRDefault="0046350E">
      <w:pPr>
        <w:pStyle w:val="Heading2"/>
      </w:pPr>
      <w:bookmarkStart w:id="103" w:name="_b360n5x8rqbb" w:colFirst="0" w:colLast="0"/>
      <w:bookmarkStart w:id="104" w:name="_Toc39826944"/>
      <w:bookmarkEnd w:id="103"/>
      <w:r>
        <w:t>Appendix A:  Energy - Electricity</w:t>
      </w:r>
      <w:bookmarkEnd w:id="104"/>
      <w:r>
        <w:t xml:space="preserve"> </w:t>
      </w:r>
    </w:p>
    <w:p w14:paraId="6EEFC9B1" w14:textId="77777777" w:rsidR="00F16EC4" w:rsidRDefault="0046350E">
      <w:pPr>
        <w:pBdr>
          <w:top w:val="nil"/>
          <w:left w:val="nil"/>
          <w:bottom w:val="nil"/>
          <w:right w:val="nil"/>
          <w:between w:val="nil"/>
        </w:pBdr>
      </w:pPr>
      <w:r>
        <w:t>Electricity consumption for the Village of Homer was retrieved from the Utility Energy Registry, provided publicly by NYSERDA</w:t>
      </w:r>
      <w:r w:rsidR="00F16EC4">
        <w:t xml:space="preserve"> and all investor-owned utilities</w:t>
      </w:r>
      <w:r>
        <w:t>. The Village of Homer</w:t>
      </w:r>
      <w:r w:rsidR="00F16EC4">
        <w:t>’s</w:t>
      </w:r>
      <w:r>
        <w:t xml:space="preserve"> electricity provider is National Grid and is classified as Upstate, New York. </w:t>
      </w:r>
      <w:r w:rsidR="00F16EC4">
        <w:t>2018 d</w:t>
      </w:r>
      <w:r>
        <w:t>ata was extracted from two files titled “National Grid - NIMO 2018 Jan-June” and “National Grid - NIMO 2018 Jul-Dec</w:t>
      </w:r>
      <w:r w:rsidR="00F16EC4">
        <w:t>,</w:t>
      </w:r>
      <w:r>
        <w:t>”</w:t>
      </w:r>
      <w:r w:rsidR="00F16EC4">
        <w:t xml:space="preserve"> and 2016-2017 and 2019 available files were also accessed for proxy data.</w:t>
      </w:r>
      <w:r>
        <w:t xml:space="preserve"> </w:t>
      </w:r>
      <w:r w:rsidR="00F16EC4">
        <w:t xml:space="preserve">All months of commercial/industrial consumption data were withheld for the village in 2018, and only two months of commercial/industrial data were available from 2016, 2017, or 2019 to use as proxy data. Residential electric usage only had five months </w:t>
      </w:r>
      <w:r w:rsidR="00F16EC4">
        <w:lastRenderedPageBreak/>
        <w:t xml:space="preserve">of data available for 2018, and proxy data from 2016, 2017, and 2019 was used for five additional months, where available. For the two months of the year that residential electric consumption was not available, an average of the remaining 10 months of data was applied. </w:t>
      </w:r>
    </w:p>
    <w:p w14:paraId="039391A0" w14:textId="227D9BD3" w:rsidR="003345CA" w:rsidRDefault="00F16EC4">
      <w:pPr>
        <w:pBdr>
          <w:top w:val="nil"/>
          <w:left w:val="nil"/>
          <w:bottom w:val="nil"/>
          <w:right w:val="nil"/>
          <w:between w:val="nil"/>
        </w:pBdr>
      </w:pPr>
      <w:r>
        <w:t xml:space="preserve">It was assumed that total electricity consumption minus residential electricity consumption provided by the UER equaled commercial/industrial consumption. Total electricity consumption in the village was available for seven months from 2016-2019, so in </w:t>
      </w:r>
      <w:r w:rsidR="00591B1D">
        <w:t>those</w:t>
      </w:r>
      <w:r>
        <w:t xml:space="preserve"> cases residential electric consumption could be subtracted from total electric consumption to estimate commercial/industrial electric consumption. For the three months of the year where </w:t>
      </w:r>
      <w:r w:rsidR="00591B1D">
        <w:t xml:space="preserve">both </w:t>
      </w:r>
      <w:r>
        <w:t xml:space="preserve">total usage and commercial/industrial usage were </w:t>
      </w:r>
      <w:r w:rsidR="00591B1D">
        <w:t>withheld</w:t>
      </w:r>
      <w:r>
        <w:t xml:space="preserve">, an average of the total electric </w:t>
      </w:r>
      <w:r w:rsidR="00591B1D">
        <w:t xml:space="preserve">consumption from the other nine months </w:t>
      </w:r>
      <w:r>
        <w:t>data was applied</w:t>
      </w:r>
      <w:r w:rsidR="00591B1D">
        <w:t>,</w:t>
      </w:r>
      <w:r>
        <w:t xml:space="preserve"> and residential electric usage was subtracted from the estimated total to yield commercial/industrial electric use </w:t>
      </w:r>
      <w:r w:rsidR="00591B1D">
        <w:t>estimates</w:t>
      </w:r>
      <w:r>
        <w:t>.</w:t>
      </w:r>
    </w:p>
    <w:p w14:paraId="73058A61" w14:textId="77777777" w:rsidR="00071979" w:rsidRDefault="00071979">
      <w:pPr>
        <w:pStyle w:val="Heading2"/>
      </w:pPr>
      <w:bookmarkStart w:id="105" w:name="_c4lyootdmrep" w:colFirst="0" w:colLast="0"/>
      <w:bookmarkEnd w:id="105"/>
    </w:p>
    <w:p w14:paraId="4F465C79" w14:textId="6CC23F5B" w:rsidR="003345CA" w:rsidRDefault="0046350E">
      <w:pPr>
        <w:pStyle w:val="Heading2"/>
      </w:pPr>
      <w:bookmarkStart w:id="106" w:name="_Toc39826945"/>
      <w:r>
        <w:t>Appendix B: Energy - Natural Gas</w:t>
      </w:r>
      <w:bookmarkEnd w:id="106"/>
    </w:p>
    <w:p w14:paraId="59567462" w14:textId="3713F6E6" w:rsidR="003345CA" w:rsidRDefault="007D1347">
      <w:pPr>
        <w:pBdr>
          <w:top w:val="nil"/>
          <w:left w:val="nil"/>
          <w:bottom w:val="nil"/>
          <w:right w:val="nil"/>
          <w:between w:val="nil"/>
        </w:pBdr>
      </w:pPr>
      <w:r>
        <w:t>Natural gas</w:t>
      </w:r>
      <w:r w:rsidR="0046350E">
        <w:t xml:space="preserve"> consumption for the Village of Homer was retrieved from the Utility Energy Registry, provided publicly by NYSERDA. The Village of Homer natural gas provider is the New York State Gas &amp; Electric Corporation. The data was extracted from two files titled “NYSEG 2018 Jan-June” and “NYSEG 2018 Jul-Dec.” All data was available so an annual total was computed for natural gas in 2018. </w:t>
      </w:r>
    </w:p>
    <w:p w14:paraId="64BBB90D" w14:textId="77777777" w:rsidR="003345CA" w:rsidRDefault="0046350E">
      <w:pPr>
        <w:pStyle w:val="Heading2"/>
      </w:pPr>
      <w:bookmarkStart w:id="107" w:name="_7f7gjpl0obc5" w:colFirst="0" w:colLast="0"/>
      <w:bookmarkStart w:id="108" w:name="_Toc39826946"/>
      <w:bookmarkEnd w:id="107"/>
      <w:r>
        <w:t>Appendix C: Transportation</w:t>
      </w:r>
      <w:bookmarkEnd w:id="108"/>
    </w:p>
    <w:p w14:paraId="10B725AE" w14:textId="77777777" w:rsidR="003345CA" w:rsidRDefault="0046350E">
      <w:pPr>
        <w:spacing w:before="240"/>
        <w:ind w:left="0"/>
      </w:pPr>
      <w:r>
        <w:t>Annual Vehicle Miles Traveled (AVMT) for 2018 was calculated by multiplying available Annual Average Daily Traffic (AADT) counts from 2018 and earlier by road lengths within the Village of Homer and multiplying total daily Vehicle Miles Traveled (VMT) by 365 days per year. This data was collected with the assistance of Amanda Mazzoni, Senior Planner at the Central New York Regional Planning and Development Board.</w:t>
      </w:r>
    </w:p>
    <w:p w14:paraId="5D2D44A6" w14:textId="77777777" w:rsidR="003345CA" w:rsidRDefault="0046350E">
      <w:pPr>
        <w:spacing w:before="240" w:after="240"/>
        <w:ind w:left="0"/>
      </w:pPr>
      <w:r>
        <w:t xml:space="preserve">Although there were AADT counts available for 9.905 miles of road within the Village of Homer, there are a total of 15.12 miles of road segments within the Village that do not have traffic counts available. Therefore, some extrapolation was necessary. According to the Minimum Maintenance Standards Regulation 239/02, a </w:t>
      </w:r>
      <w:proofErr w:type="gramStart"/>
      <w:r>
        <w:t>set guidelines</w:t>
      </w:r>
      <w:proofErr w:type="gramEnd"/>
      <w:r>
        <w:t xml:space="preserve"> produced by the Association of Municipalities of Ontario to help </w:t>
      </w:r>
      <w:r>
        <w:lastRenderedPageBreak/>
        <w:t xml:space="preserve">local communities estimate traffic volume, while conducting an AADT count, it is possible to estimate the traffic volume for dead-ends and cul-de-sacs to avoid resource intensive counts. This can be done by counting the number of houses on the roadway, and multiplying by a factor of 6 for rural areas and 10 for urban areas. </w:t>
      </w:r>
    </w:p>
    <w:p w14:paraId="2CAF763D" w14:textId="3E32323C" w:rsidR="003345CA" w:rsidRDefault="0046350E">
      <w:pPr>
        <w:spacing w:before="240" w:after="240"/>
        <w:ind w:left="0"/>
      </w:pPr>
      <w:r>
        <w:t>This method was applied to the Village of Homer for the roads without AADT counts.  It was determined that there were 1,330 occupied households in the V</w:t>
      </w:r>
      <w:r w:rsidR="00576DED">
        <w:t>i</w:t>
      </w:r>
      <w:r>
        <w:t>llage of Homer in 2018, according to the American Community Survey. It was assumed that all homes are on roadways that do not have AADT counts, since most houses are on local/collector roads and almost all local/collector roads in Homer did not have an AADT count.  By multiplying the number of occupied homes by 6, a combined AADT count of 7,980 was calculated for 2018 for all 15.12 miles of roads without AADT counts available. In order to calculate VMTs, an average AADT value was needed, and derived by dividing the total AADT by the 15.12 miles of uncounted roadway. This gave an average AADT value of 527.8 for 2018, which was applied to the 15.12 miles of road length that did not have a count.</w:t>
      </w:r>
    </w:p>
    <w:p w14:paraId="22F5DE15" w14:textId="6EB50C37" w:rsidR="00083028" w:rsidRDefault="00083028">
      <w:pPr>
        <w:spacing w:before="240" w:after="240"/>
        <w:ind w:left="0"/>
      </w:pPr>
      <w:r>
        <w:t>Vehicle miles traveled information was then attributed to various vehicle types as per ICLEI’s default percentages of vehicle types, including gasoline passenger vehicles at 60.6%, gasoline light duty vehicles at 32.4%, diesel passenger vehicles at 0.3%, diesel light duty vehicles at 1.3%, and diesel heavy duty vehicles at 5.4%. VMT per vehicle type was then divided by average estimated miles per gallon per vehicle type (provided by EPA’s Local Greenhouse Gas Inventory Tool) to yield estimated gallons of fuel use per vehicle type. Gallons of fuel and VMT were then entered into EPA’s Local Greenhouse Gas Inventory Tool and converted to emissions data.</w:t>
      </w:r>
    </w:p>
    <w:p w14:paraId="6257C525" w14:textId="77777777" w:rsidR="003345CA" w:rsidRDefault="0046350E">
      <w:pPr>
        <w:pStyle w:val="Heading2"/>
        <w:spacing w:before="240" w:after="240"/>
        <w:ind w:left="0"/>
      </w:pPr>
      <w:bookmarkStart w:id="109" w:name="_sqyyaqfcor6" w:colFirst="0" w:colLast="0"/>
      <w:bookmarkStart w:id="110" w:name="_Toc39826947"/>
      <w:bookmarkEnd w:id="109"/>
      <w:r>
        <w:t>Appendix D: Solid Waste</w:t>
      </w:r>
      <w:bookmarkEnd w:id="110"/>
    </w:p>
    <w:p w14:paraId="5C33051D" w14:textId="531668AE" w:rsidR="003345CA" w:rsidRDefault="0046350E">
      <w:pPr>
        <w:spacing w:before="240" w:after="240"/>
        <w:ind w:left="0"/>
      </w:pPr>
      <w:r>
        <w:t xml:space="preserve">Solid waste data was gathered from the weight readings of waste collected by Syracuse Haulers. Data was provided as tons per month for 2018. </w:t>
      </w:r>
      <w:r w:rsidR="00556E3E">
        <w:t xml:space="preserve">This data was collected with the assistance of the Homer Village Clerk, Dan </w:t>
      </w:r>
      <w:proofErr w:type="spellStart"/>
      <w:r w:rsidR="00556E3E">
        <w:t>Egnor</w:t>
      </w:r>
      <w:proofErr w:type="spellEnd"/>
      <w:r w:rsidR="00556E3E">
        <w:t xml:space="preserve">.  ICLEI’s </w:t>
      </w:r>
      <w:proofErr w:type="spellStart"/>
      <w:r w:rsidR="00556E3E">
        <w:t>ClearPath</w:t>
      </w:r>
      <w:proofErr w:type="spellEnd"/>
      <w:r w:rsidR="00556E3E">
        <w:t xml:space="preserve"> tool was used to process waste data since EPA’s Local Greenhouse Gas Inventory Tool does not provide a method for calculating Scope 3 process waste emissions</w:t>
      </w:r>
      <w:r>
        <w:t xml:space="preserve">. </w:t>
      </w:r>
      <w:r w:rsidR="00556E3E">
        <w:t>Total waste data</w:t>
      </w:r>
      <w:r>
        <w:t xml:space="preserve"> </w:t>
      </w:r>
      <w:r w:rsidR="00556E3E">
        <w:t xml:space="preserve">provided by Syracuse Haulers was entered into </w:t>
      </w:r>
      <w:proofErr w:type="spellStart"/>
      <w:r w:rsidR="00556E3E">
        <w:t>ClearPath</w:t>
      </w:r>
      <w:proofErr w:type="spellEnd"/>
      <w:r w:rsidR="00556E3E">
        <w:t xml:space="preserve"> using a mixed municipal solid waste categorization, since the waste data was not provided by waste type. It was assumed that the methane collection scenario was typical and landfill moisture content was moderate.</w:t>
      </w:r>
    </w:p>
    <w:p w14:paraId="2C582039" w14:textId="77777777" w:rsidR="003345CA" w:rsidRDefault="0046350E">
      <w:pPr>
        <w:pStyle w:val="Heading2"/>
        <w:spacing w:before="240" w:after="240"/>
        <w:ind w:left="0"/>
      </w:pPr>
      <w:bookmarkStart w:id="111" w:name="_hpt9ke9wosnq" w:colFirst="0" w:colLast="0"/>
      <w:bookmarkStart w:id="112" w:name="_Toc39826948"/>
      <w:bookmarkEnd w:id="111"/>
      <w:r>
        <w:t>Appendix E: Excluded Categories</w:t>
      </w:r>
      <w:bookmarkEnd w:id="112"/>
    </w:p>
    <w:p w14:paraId="4BD8F9C2" w14:textId="2F5DFCD7" w:rsidR="003345CA" w:rsidRDefault="0046350E">
      <w:pPr>
        <w:spacing w:before="240" w:after="240"/>
        <w:ind w:left="0"/>
      </w:pPr>
      <w:r>
        <w:lastRenderedPageBreak/>
        <w:t xml:space="preserve">Stationary combustion of other fuels in the Village of Homer was excluded due to the lack of information available. According to the 2018 American Community Survey, residential data for fuels consumed indicated that six homes </w:t>
      </w:r>
      <w:r w:rsidR="007D1347">
        <w:t xml:space="preserve">in the village of Homer </w:t>
      </w:r>
      <w:r>
        <w:t>used coal and seventeen homes used fuel oil, kerosene, etc. which accounts for only 1.7 percent of total occupied homes in the Village of Homer. New York State has no residential consumption information for coal</w:t>
      </w:r>
      <w:r w:rsidR="007D1347">
        <w:t xml:space="preserve"> in 2018</w:t>
      </w:r>
      <w:r>
        <w:t xml:space="preserve">, making it impossible to make the calculation for total consumption based on house count. Also, since the consumption is </w:t>
      </w:r>
      <w:r w:rsidR="007D1347">
        <w:t xml:space="preserve">so </w:t>
      </w:r>
      <w:r>
        <w:t>low, the impact is minimal to the total GHG impact. As for fuel oil and kerosene, there is no breakdown to make separate calculations for the fuels</w:t>
      </w:r>
      <w:r w:rsidR="007D1347">
        <w:t>, and their use is so low that including them would have a negligible impact on overall residential emissions</w:t>
      </w:r>
      <w:r>
        <w:t>. In addition, the EPA Calculator does not provide input categories for fuel oil or kerosene for potential residential emissions. Due to this, accurate calculations could not be generated.</w:t>
      </w:r>
    </w:p>
    <w:p w14:paraId="5DF25327" w14:textId="1DFA2E52" w:rsidR="003345CA" w:rsidRDefault="0046350E">
      <w:pPr>
        <w:spacing w:before="240" w:after="240"/>
        <w:ind w:left="0"/>
      </w:pPr>
      <w:r>
        <w:t xml:space="preserve">Wastewater was not included because there are no septic systems within the Village to Homer according to the Village Clerk, Dan </w:t>
      </w:r>
      <w:proofErr w:type="spellStart"/>
      <w:r>
        <w:t>Egnor</w:t>
      </w:r>
      <w:proofErr w:type="spellEnd"/>
      <w:r>
        <w:t>. Analysis of wastewater sent to the treatment plant is outside the scope of this report</w:t>
      </w:r>
      <w:r w:rsidR="007D1347">
        <w:t>, since the wastewater treatment facility is located outside of village boundaries</w:t>
      </w:r>
      <w:r>
        <w:t xml:space="preserve">.  </w:t>
      </w:r>
    </w:p>
    <w:p w14:paraId="21CFC2A1" w14:textId="77777777" w:rsidR="00556E3E" w:rsidRDefault="00556E3E">
      <w:pPr>
        <w:spacing w:before="240" w:after="240"/>
        <w:ind w:left="0"/>
      </w:pPr>
    </w:p>
    <w:p w14:paraId="516E9523" w14:textId="77777777" w:rsidR="003345CA" w:rsidRDefault="0046350E">
      <w:pPr>
        <w:pStyle w:val="Heading1"/>
        <w:spacing w:before="240" w:after="240"/>
        <w:ind w:left="0"/>
      </w:pPr>
      <w:bookmarkStart w:id="113" w:name="_mcma1nesw3fk" w:colFirst="0" w:colLast="0"/>
      <w:bookmarkStart w:id="114" w:name="_Toc39826949"/>
      <w:bookmarkEnd w:id="113"/>
      <w:r>
        <w:t>Data Tables</w:t>
      </w:r>
      <w:bookmarkEnd w:id="114"/>
    </w:p>
    <w:p w14:paraId="1A5C33DD" w14:textId="7DC5300E" w:rsidR="003345CA" w:rsidRDefault="0046350E">
      <w:pPr>
        <w:pStyle w:val="Heading2"/>
        <w:spacing w:before="240"/>
        <w:ind w:left="0"/>
      </w:pPr>
      <w:bookmarkStart w:id="115" w:name="_3sxb8oz2cg3q" w:colFirst="0" w:colLast="0"/>
      <w:bookmarkStart w:id="116" w:name="_Toc39826950"/>
      <w:bookmarkEnd w:id="115"/>
      <w:r>
        <w:t>Table I: Compiled Data for Electrical Consumption (MWh)</w:t>
      </w:r>
      <w:bookmarkEnd w:id="116"/>
    </w:p>
    <w:p w14:paraId="10D19581" w14:textId="77777777" w:rsidR="004D75F7" w:rsidRPr="004D75F7" w:rsidRDefault="004D75F7" w:rsidP="004D75F7"/>
    <w:tbl>
      <w:tblPr>
        <w:tblW w:w="7965" w:type="dxa"/>
        <w:tblInd w:w="715" w:type="dxa"/>
        <w:tblLook w:val="04A0" w:firstRow="1" w:lastRow="0" w:firstColumn="1" w:lastColumn="0" w:noHBand="0" w:noVBand="1"/>
      </w:tblPr>
      <w:tblGrid>
        <w:gridCol w:w="885"/>
        <w:gridCol w:w="1600"/>
        <w:gridCol w:w="1600"/>
        <w:gridCol w:w="1600"/>
        <w:gridCol w:w="2280"/>
      </w:tblGrid>
      <w:tr w:rsidR="004D75F7" w:rsidRPr="004D75F7" w14:paraId="262F89FB" w14:textId="77777777" w:rsidTr="004D75F7">
        <w:trPr>
          <w:trHeight w:val="31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296C0" w14:textId="77777777" w:rsidR="004D75F7" w:rsidRPr="004D75F7" w:rsidRDefault="004D75F7" w:rsidP="004D75F7">
            <w:pPr>
              <w:spacing w:before="0" w:line="240" w:lineRule="auto"/>
              <w:ind w:left="0"/>
              <w:jc w:val="center"/>
              <w:rPr>
                <w:rFonts w:ascii="Arial" w:eastAsia="Times New Roman" w:hAnsi="Arial" w:cs="Arial"/>
                <w:b/>
                <w:bCs/>
                <w:color w:val="000000"/>
                <w:lang w:val="en-US"/>
              </w:rPr>
            </w:pPr>
            <w:r w:rsidRPr="004D75F7">
              <w:rPr>
                <w:rFonts w:ascii="Arial" w:eastAsia="Times New Roman" w:hAnsi="Arial" w:cs="Arial"/>
                <w:b/>
                <w:bCs/>
                <w:color w:val="000000"/>
                <w:lang w:val="en-US"/>
              </w:rPr>
              <w:t>Month</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199E2B9A" w14:textId="77777777" w:rsidR="004D75F7" w:rsidRPr="004D75F7" w:rsidRDefault="004D75F7" w:rsidP="004D75F7">
            <w:pPr>
              <w:spacing w:before="0" w:line="240" w:lineRule="auto"/>
              <w:ind w:left="0"/>
              <w:jc w:val="center"/>
              <w:rPr>
                <w:rFonts w:ascii="Arial" w:eastAsia="Times New Roman" w:hAnsi="Arial" w:cs="Arial"/>
                <w:b/>
                <w:bCs/>
                <w:color w:val="000000"/>
                <w:lang w:val="en-US"/>
              </w:rPr>
            </w:pPr>
            <w:r w:rsidRPr="004D75F7">
              <w:rPr>
                <w:rFonts w:ascii="Arial" w:eastAsia="Times New Roman" w:hAnsi="Arial" w:cs="Arial"/>
                <w:b/>
                <w:bCs/>
                <w:color w:val="000000"/>
                <w:lang w:val="en-US"/>
              </w:rPr>
              <w:t>Total</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63FB8357" w14:textId="17A836DC" w:rsidR="004D75F7" w:rsidRPr="004D75F7" w:rsidRDefault="004D75F7" w:rsidP="004D75F7">
            <w:pPr>
              <w:spacing w:before="0" w:line="240" w:lineRule="auto"/>
              <w:ind w:left="0"/>
              <w:jc w:val="center"/>
              <w:rPr>
                <w:rFonts w:ascii="Arial" w:eastAsia="Times New Roman" w:hAnsi="Arial" w:cs="Arial"/>
                <w:b/>
                <w:bCs/>
                <w:color w:val="000000"/>
                <w:lang w:val="en-US"/>
              </w:rPr>
            </w:pPr>
            <w:r w:rsidRPr="004D75F7">
              <w:rPr>
                <w:rFonts w:ascii="Arial" w:eastAsia="Times New Roman" w:hAnsi="Arial" w:cs="Arial"/>
                <w:b/>
                <w:bCs/>
                <w:color w:val="000000"/>
                <w:lang w:val="en-US"/>
              </w:rPr>
              <w:t>Res</w:t>
            </w:r>
            <w:r>
              <w:rPr>
                <w:rFonts w:ascii="Arial" w:eastAsia="Times New Roman" w:hAnsi="Arial" w:cs="Arial"/>
                <w:b/>
                <w:bCs/>
                <w:color w:val="000000"/>
                <w:lang w:val="en-US"/>
              </w:rPr>
              <w:t>idential</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2EA9CFD" w14:textId="77777777" w:rsidR="004D75F7" w:rsidRPr="004D75F7" w:rsidRDefault="004D75F7" w:rsidP="004D75F7">
            <w:pPr>
              <w:spacing w:before="0" w:line="240" w:lineRule="auto"/>
              <w:ind w:left="0"/>
              <w:jc w:val="center"/>
              <w:rPr>
                <w:rFonts w:ascii="Arial" w:eastAsia="Times New Roman" w:hAnsi="Arial" w:cs="Arial"/>
                <w:b/>
                <w:bCs/>
                <w:color w:val="000000"/>
                <w:lang w:val="en-US"/>
              </w:rPr>
            </w:pPr>
            <w:r w:rsidRPr="004D75F7">
              <w:rPr>
                <w:rFonts w:ascii="Arial" w:eastAsia="Times New Roman" w:hAnsi="Arial" w:cs="Arial"/>
                <w:b/>
                <w:bCs/>
                <w:color w:val="000000"/>
                <w:lang w:val="en-US"/>
              </w:rPr>
              <w:t>C&amp;I</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3D955D78" w14:textId="77777777" w:rsidR="004D75F7" w:rsidRPr="004D75F7" w:rsidRDefault="004D75F7" w:rsidP="004D75F7">
            <w:pPr>
              <w:spacing w:before="0" w:line="240" w:lineRule="auto"/>
              <w:ind w:left="0"/>
              <w:jc w:val="center"/>
              <w:rPr>
                <w:rFonts w:ascii="Arial" w:eastAsia="Times New Roman" w:hAnsi="Arial" w:cs="Arial"/>
                <w:b/>
                <w:bCs/>
                <w:color w:val="000000"/>
                <w:lang w:val="en-US"/>
              </w:rPr>
            </w:pPr>
            <w:r w:rsidRPr="004D75F7">
              <w:rPr>
                <w:rFonts w:ascii="Arial" w:eastAsia="Times New Roman" w:hAnsi="Arial" w:cs="Arial"/>
                <w:b/>
                <w:bCs/>
                <w:color w:val="000000"/>
                <w:lang w:val="en-US"/>
              </w:rPr>
              <w:t>Notes</w:t>
            </w:r>
          </w:p>
        </w:tc>
      </w:tr>
      <w:tr w:rsidR="004D75F7" w:rsidRPr="004D75F7" w14:paraId="19BDC6EC"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08CD1D4E"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Jan</w:t>
            </w:r>
          </w:p>
        </w:tc>
        <w:tc>
          <w:tcPr>
            <w:tcW w:w="1600" w:type="dxa"/>
            <w:tcBorders>
              <w:top w:val="nil"/>
              <w:left w:val="nil"/>
              <w:bottom w:val="single" w:sz="4" w:space="0" w:color="auto"/>
              <w:right w:val="single" w:sz="4" w:space="0" w:color="auto"/>
            </w:tcBorders>
            <w:shd w:val="clear" w:color="auto" w:fill="auto"/>
            <w:noWrap/>
            <w:vAlign w:val="bottom"/>
            <w:hideMark/>
          </w:tcPr>
          <w:p w14:paraId="3FE9F8E0"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4,088.56</w:t>
            </w:r>
          </w:p>
        </w:tc>
        <w:tc>
          <w:tcPr>
            <w:tcW w:w="1600" w:type="dxa"/>
            <w:tcBorders>
              <w:top w:val="nil"/>
              <w:left w:val="nil"/>
              <w:bottom w:val="single" w:sz="4" w:space="0" w:color="auto"/>
              <w:right w:val="single" w:sz="4" w:space="0" w:color="auto"/>
            </w:tcBorders>
            <w:shd w:val="clear" w:color="auto" w:fill="auto"/>
            <w:noWrap/>
            <w:vAlign w:val="bottom"/>
            <w:hideMark/>
          </w:tcPr>
          <w:p w14:paraId="0DFD846B"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709.98</w:t>
            </w:r>
          </w:p>
        </w:tc>
        <w:tc>
          <w:tcPr>
            <w:tcW w:w="1600" w:type="dxa"/>
            <w:tcBorders>
              <w:top w:val="nil"/>
              <w:left w:val="nil"/>
              <w:bottom w:val="single" w:sz="4" w:space="0" w:color="auto"/>
              <w:right w:val="single" w:sz="4" w:space="0" w:color="auto"/>
            </w:tcBorders>
            <w:shd w:val="clear" w:color="auto" w:fill="auto"/>
            <w:noWrap/>
            <w:vAlign w:val="bottom"/>
            <w:hideMark/>
          </w:tcPr>
          <w:p w14:paraId="51CDA495"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3,378.58</w:t>
            </w:r>
          </w:p>
        </w:tc>
        <w:tc>
          <w:tcPr>
            <w:tcW w:w="2280" w:type="dxa"/>
            <w:tcBorders>
              <w:top w:val="nil"/>
              <w:left w:val="nil"/>
              <w:bottom w:val="single" w:sz="4" w:space="0" w:color="auto"/>
              <w:right w:val="single" w:sz="4" w:space="0" w:color="auto"/>
            </w:tcBorders>
            <w:shd w:val="clear" w:color="auto" w:fill="auto"/>
            <w:noWrap/>
            <w:vAlign w:val="bottom"/>
            <w:hideMark/>
          </w:tcPr>
          <w:p w14:paraId="592FCC4F"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Res avg used</w:t>
            </w:r>
          </w:p>
        </w:tc>
      </w:tr>
      <w:tr w:rsidR="004D75F7" w:rsidRPr="004D75F7" w14:paraId="1229D624"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20850582"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Feb</w:t>
            </w:r>
          </w:p>
        </w:tc>
        <w:tc>
          <w:tcPr>
            <w:tcW w:w="1600" w:type="dxa"/>
            <w:tcBorders>
              <w:top w:val="nil"/>
              <w:left w:val="nil"/>
              <w:bottom w:val="single" w:sz="4" w:space="0" w:color="auto"/>
              <w:right w:val="single" w:sz="4" w:space="0" w:color="auto"/>
            </w:tcBorders>
            <w:shd w:val="clear" w:color="auto" w:fill="auto"/>
            <w:noWrap/>
            <w:vAlign w:val="bottom"/>
            <w:hideMark/>
          </w:tcPr>
          <w:p w14:paraId="2A31016D"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2,731.12</w:t>
            </w:r>
          </w:p>
        </w:tc>
        <w:tc>
          <w:tcPr>
            <w:tcW w:w="1600" w:type="dxa"/>
            <w:tcBorders>
              <w:top w:val="nil"/>
              <w:left w:val="nil"/>
              <w:bottom w:val="single" w:sz="4" w:space="0" w:color="auto"/>
              <w:right w:val="single" w:sz="4" w:space="0" w:color="auto"/>
            </w:tcBorders>
            <w:shd w:val="clear" w:color="auto" w:fill="auto"/>
            <w:noWrap/>
            <w:vAlign w:val="bottom"/>
            <w:hideMark/>
          </w:tcPr>
          <w:p w14:paraId="35108B17"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900.28</w:t>
            </w:r>
          </w:p>
        </w:tc>
        <w:tc>
          <w:tcPr>
            <w:tcW w:w="1600" w:type="dxa"/>
            <w:tcBorders>
              <w:top w:val="nil"/>
              <w:left w:val="nil"/>
              <w:bottom w:val="single" w:sz="4" w:space="0" w:color="auto"/>
              <w:right w:val="single" w:sz="4" w:space="0" w:color="auto"/>
            </w:tcBorders>
            <w:shd w:val="clear" w:color="auto" w:fill="auto"/>
            <w:noWrap/>
            <w:vAlign w:val="bottom"/>
            <w:hideMark/>
          </w:tcPr>
          <w:p w14:paraId="56B4B8B0"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1,830.83</w:t>
            </w:r>
          </w:p>
        </w:tc>
        <w:tc>
          <w:tcPr>
            <w:tcW w:w="2280" w:type="dxa"/>
            <w:tcBorders>
              <w:top w:val="nil"/>
              <w:left w:val="nil"/>
              <w:bottom w:val="single" w:sz="4" w:space="0" w:color="auto"/>
              <w:right w:val="single" w:sz="4" w:space="0" w:color="auto"/>
            </w:tcBorders>
            <w:shd w:val="clear" w:color="auto" w:fill="auto"/>
            <w:noWrap/>
            <w:vAlign w:val="bottom"/>
            <w:hideMark/>
          </w:tcPr>
          <w:p w14:paraId="6E1E0EC7"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3103F683"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6A08E1A4"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Mar</w:t>
            </w:r>
          </w:p>
        </w:tc>
        <w:tc>
          <w:tcPr>
            <w:tcW w:w="1600" w:type="dxa"/>
            <w:tcBorders>
              <w:top w:val="nil"/>
              <w:left w:val="nil"/>
              <w:bottom w:val="single" w:sz="4" w:space="0" w:color="auto"/>
              <w:right w:val="single" w:sz="4" w:space="0" w:color="auto"/>
            </w:tcBorders>
            <w:shd w:val="clear" w:color="auto" w:fill="auto"/>
            <w:noWrap/>
            <w:vAlign w:val="bottom"/>
            <w:hideMark/>
          </w:tcPr>
          <w:p w14:paraId="71C5441D"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3,146.10</w:t>
            </w:r>
          </w:p>
        </w:tc>
        <w:tc>
          <w:tcPr>
            <w:tcW w:w="1600" w:type="dxa"/>
            <w:tcBorders>
              <w:top w:val="nil"/>
              <w:left w:val="nil"/>
              <w:bottom w:val="single" w:sz="4" w:space="0" w:color="auto"/>
              <w:right w:val="single" w:sz="4" w:space="0" w:color="auto"/>
            </w:tcBorders>
            <w:shd w:val="clear" w:color="auto" w:fill="auto"/>
            <w:noWrap/>
            <w:vAlign w:val="bottom"/>
            <w:hideMark/>
          </w:tcPr>
          <w:p w14:paraId="37D3102F"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806.54</w:t>
            </w:r>
          </w:p>
        </w:tc>
        <w:tc>
          <w:tcPr>
            <w:tcW w:w="1600" w:type="dxa"/>
            <w:tcBorders>
              <w:top w:val="nil"/>
              <w:left w:val="nil"/>
              <w:bottom w:val="single" w:sz="4" w:space="0" w:color="auto"/>
              <w:right w:val="single" w:sz="4" w:space="0" w:color="auto"/>
            </w:tcBorders>
            <w:shd w:val="clear" w:color="auto" w:fill="auto"/>
            <w:noWrap/>
            <w:vAlign w:val="bottom"/>
            <w:hideMark/>
          </w:tcPr>
          <w:p w14:paraId="3720BA75"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2,339.56</w:t>
            </w:r>
          </w:p>
        </w:tc>
        <w:tc>
          <w:tcPr>
            <w:tcW w:w="2280" w:type="dxa"/>
            <w:tcBorders>
              <w:top w:val="nil"/>
              <w:left w:val="nil"/>
              <w:bottom w:val="single" w:sz="4" w:space="0" w:color="auto"/>
              <w:right w:val="single" w:sz="4" w:space="0" w:color="auto"/>
            </w:tcBorders>
            <w:shd w:val="clear" w:color="auto" w:fill="auto"/>
            <w:noWrap/>
            <w:vAlign w:val="bottom"/>
            <w:hideMark/>
          </w:tcPr>
          <w:p w14:paraId="7D9DFD1B"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26EBF3A3"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0014C341"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April</w:t>
            </w:r>
          </w:p>
        </w:tc>
        <w:tc>
          <w:tcPr>
            <w:tcW w:w="1600" w:type="dxa"/>
            <w:tcBorders>
              <w:top w:val="nil"/>
              <w:left w:val="nil"/>
              <w:bottom w:val="single" w:sz="4" w:space="0" w:color="auto"/>
              <w:right w:val="single" w:sz="4" w:space="0" w:color="auto"/>
            </w:tcBorders>
            <w:shd w:val="clear" w:color="auto" w:fill="auto"/>
            <w:noWrap/>
            <w:vAlign w:val="bottom"/>
            <w:hideMark/>
          </w:tcPr>
          <w:p w14:paraId="379348EA"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1,535.56</w:t>
            </w:r>
          </w:p>
        </w:tc>
        <w:tc>
          <w:tcPr>
            <w:tcW w:w="1600" w:type="dxa"/>
            <w:tcBorders>
              <w:top w:val="nil"/>
              <w:left w:val="nil"/>
              <w:bottom w:val="single" w:sz="4" w:space="0" w:color="auto"/>
              <w:right w:val="single" w:sz="4" w:space="0" w:color="auto"/>
            </w:tcBorders>
            <w:shd w:val="clear" w:color="auto" w:fill="auto"/>
            <w:noWrap/>
            <w:vAlign w:val="bottom"/>
            <w:hideMark/>
          </w:tcPr>
          <w:p w14:paraId="28610A9C"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847.45</w:t>
            </w:r>
          </w:p>
        </w:tc>
        <w:tc>
          <w:tcPr>
            <w:tcW w:w="1600" w:type="dxa"/>
            <w:tcBorders>
              <w:top w:val="nil"/>
              <w:left w:val="nil"/>
              <w:bottom w:val="single" w:sz="4" w:space="0" w:color="auto"/>
              <w:right w:val="single" w:sz="4" w:space="0" w:color="auto"/>
            </w:tcBorders>
            <w:shd w:val="clear" w:color="auto" w:fill="auto"/>
            <w:noWrap/>
            <w:vAlign w:val="bottom"/>
            <w:hideMark/>
          </w:tcPr>
          <w:p w14:paraId="2DE0BC5E"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688.11</w:t>
            </w:r>
          </w:p>
        </w:tc>
        <w:tc>
          <w:tcPr>
            <w:tcW w:w="2280" w:type="dxa"/>
            <w:tcBorders>
              <w:top w:val="nil"/>
              <w:left w:val="nil"/>
              <w:bottom w:val="single" w:sz="4" w:space="0" w:color="auto"/>
              <w:right w:val="single" w:sz="4" w:space="0" w:color="auto"/>
            </w:tcBorders>
            <w:shd w:val="clear" w:color="auto" w:fill="auto"/>
            <w:noWrap/>
            <w:vAlign w:val="bottom"/>
            <w:hideMark/>
          </w:tcPr>
          <w:p w14:paraId="21A736BF"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3561E38B"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44EE7B2C"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May</w:t>
            </w:r>
          </w:p>
        </w:tc>
        <w:tc>
          <w:tcPr>
            <w:tcW w:w="1600" w:type="dxa"/>
            <w:tcBorders>
              <w:top w:val="nil"/>
              <w:left w:val="nil"/>
              <w:bottom w:val="single" w:sz="4" w:space="0" w:color="auto"/>
              <w:right w:val="single" w:sz="4" w:space="0" w:color="auto"/>
            </w:tcBorders>
            <w:shd w:val="clear" w:color="auto" w:fill="auto"/>
            <w:noWrap/>
            <w:vAlign w:val="bottom"/>
            <w:hideMark/>
          </w:tcPr>
          <w:p w14:paraId="0BF8215A"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3,060.88</w:t>
            </w:r>
          </w:p>
        </w:tc>
        <w:tc>
          <w:tcPr>
            <w:tcW w:w="1600" w:type="dxa"/>
            <w:tcBorders>
              <w:top w:val="nil"/>
              <w:left w:val="nil"/>
              <w:bottom w:val="single" w:sz="4" w:space="0" w:color="auto"/>
              <w:right w:val="single" w:sz="4" w:space="0" w:color="auto"/>
            </w:tcBorders>
            <w:shd w:val="clear" w:color="auto" w:fill="auto"/>
            <w:noWrap/>
            <w:vAlign w:val="bottom"/>
            <w:hideMark/>
          </w:tcPr>
          <w:p w14:paraId="49242F6B"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698.45</w:t>
            </w:r>
          </w:p>
        </w:tc>
        <w:tc>
          <w:tcPr>
            <w:tcW w:w="1600" w:type="dxa"/>
            <w:tcBorders>
              <w:top w:val="nil"/>
              <w:left w:val="nil"/>
              <w:bottom w:val="single" w:sz="4" w:space="0" w:color="auto"/>
              <w:right w:val="single" w:sz="4" w:space="0" w:color="auto"/>
            </w:tcBorders>
            <w:shd w:val="clear" w:color="auto" w:fill="auto"/>
            <w:noWrap/>
            <w:vAlign w:val="bottom"/>
            <w:hideMark/>
          </w:tcPr>
          <w:p w14:paraId="0C3BFEC8"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2,362.43</w:t>
            </w:r>
          </w:p>
        </w:tc>
        <w:tc>
          <w:tcPr>
            <w:tcW w:w="2280" w:type="dxa"/>
            <w:tcBorders>
              <w:top w:val="nil"/>
              <w:left w:val="nil"/>
              <w:bottom w:val="single" w:sz="4" w:space="0" w:color="auto"/>
              <w:right w:val="single" w:sz="4" w:space="0" w:color="auto"/>
            </w:tcBorders>
            <w:shd w:val="clear" w:color="auto" w:fill="auto"/>
            <w:noWrap/>
            <w:vAlign w:val="bottom"/>
            <w:hideMark/>
          </w:tcPr>
          <w:p w14:paraId="74A9E923"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Total avg used</w:t>
            </w:r>
          </w:p>
        </w:tc>
      </w:tr>
      <w:tr w:rsidR="004D75F7" w:rsidRPr="004D75F7" w14:paraId="43C60D7E"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076320D8"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June</w:t>
            </w:r>
          </w:p>
        </w:tc>
        <w:tc>
          <w:tcPr>
            <w:tcW w:w="1600" w:type="dxa"/>
            <w:tcBorders>
              <w:top w:val="nil"/>
              <w:left w:val="nil"/>
              <w:bottom w:val="single" w:sz="4" w:space="0" w:color="auto"/>
              <w:right w:val="single" w:sz="4" w:space="0" w:color="auto"/>
            </w:tcBorders>
            <w:shd w:val="clear" w:color="auto" w:fill="auto"/>
            <w:noWrap/>
            <w:vAlign w:val="bottom"/>
            <w:hideMark/>
          </w:tcPr>
          <w:p w14:paraId="00EFADAE"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3,465.86</w:t>
            </w:r>
          </w:p>
        </w:tc>
        <w:tc>
          <w:tcPr>
            <w:tcW w:w="1600" w:type="dxa"/>
            <w:tcBorders>
              <w:top w:val="nil"/>
              <w:left w:val="nil"/>
              <w:bottom w:val="single" w:sz="4" w:space="0" w:color="auto"/>
              <w:right w:val="single" w:sz="4" w:space="0" w:color="auto"/>
            </w:tcBorders>
            <w:shd w:val="clear" w:color="auto" w:fill="auto"/>
            <w:noWrap/>
            <w:vAlign w:val="bottom"/>
            <w:hideMark/>
          </w:tcPr>
          <w:p w14:paraId="05E689F6"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636.86</w:t>
            </w:r>
          </w:p>
        </w:tc>
        <w:tc>
          <w:tcPr>
            <w:tcW w:w="1600" w:type="dxa"/>
            <w:tcBorders>
              <w:top w:val="nil"/>
              <w:left w:val="nil"/>
              <w:bottom w:val="single" w:sz="4" w:space="0" w:color="auto"/>
              <w:right w:val="single" w:sz="4" w:space="0" w:color="auto"/>
            </w:tcBorders>
            <w:shd w:val="clear" w:color="auto" w:fill="auto"/>
            <w:noWrap/>
            <w:vAlign w:val="bottom"/>
            <w:hideMark/>
          </w:tcPr>
          <w:p w14:paraId="78475A1D"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2,829.00</w:t>
            </w:r>
          </w:p>
        </w:tc>
        <w:tc>
          <w:tcPr>
            <w:tcW w:w="2280" w:type="dxa"/>
            <w:tcBorders>
              <w:top w:val="nil"/>
              <w:left w:val="nil"/>
              <w:bottom w:val="single" w:sz="4" w:space="0" w:color="auto"/>
              <w:right w:val="single" w:sz="4" w:space="0" w:color="auto"/>
            </w:tcBorders>
            <w:shd w:val="clear" w:color="auto" w:fill="auto"/>
            <w:noWrap/>
            <w:vAlign w:val="bottom"/>
            <w:hideMark/>
          </w:tcPr>
          <w:p w14:paraId="6458F544"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76DD9CD5"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200061CF"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July</w:t>
            </w:r>
          </w:p>
        </w:tc>
        <w:tc>
          <w:tcPr>
            <w:tcW w:w="1600" w:type="dxa"/>
            <w:tcBorders>
              <w:top w:val="nil"/>
              <w:left w:val="nil"/>
              <w:bottom w:val="single" w:sz="4" w:space="0" w:color="auto"/>
              <w:right w:val="single" w:sz="4" w:space="0" w:color="auto"/>
            </w:tcBorders>
            <w:shd w:val="clear" w:color="auto" w:fill="auto"/>
            <w:noWrap/>
            <w:vAlign w:val="bottom"/>
            <w:hideMark/>
          </w:tcPr>
          <w:p w14:paraId="49B4FD2B"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3,060.88</w:t>
            </w:r>
          </w:p>
        </w:tc>
        <w:tc>
          <w:tcPr>
            <w:tcW w:w="1600" w:type="dxa"/>
            <w:tcBorders>
              <w:top w:val="nil"/>
              <w:left w:val="nil"/>
              <w:bottom w:val="single" w:sz="4" w:space="0" w:color="auto"/>
              <w:right w:val="single" w:sz="4" w:space="0" w:color="auto"/>
            </w:tcBorders>
            <w:shd w:val="clear" w:color="auto" w:fill="auto"/>
            <w:noWrap/>
            <w:vAlign w:val="bottom"/>
            <w:hideMark/>
          </w:tcPr>
          <w:p w14:paraId="3F613296"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749.44</w:t>
            </w:r>
          </w:p>
        </w:tc>
        <w:tc>
          <w:tcPr>
            <w:tcW w:w="1600" w:type="dxa"/>
            <w:tcBorders>
              <w:top w:val="nil"/>
              <w:left w:val="nil"/>
              <w:bottom w:val="single" w:sz="4" w:space="0" w:color="auto"/>
              <w:right w:val="single" w:sz="4" w:space="0" w:color="auto"/>
            </w:tcBorders>
            <w:shd w:val="clear" w:color="auto" w:fill="auto"/>
            <w:noWrap/>
            <w:vAlign w:val="bottom"/>
            <w:hideMark/>
          </w:tcPr>
          <w:p w14:paraId="0EDE87C7"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2,311.44</w:t>
            </w:r>
          </w:p>
        </w:tc>
        <w:tc>
          <w:tcPr>
            <w:tcW w:w="2280" w:type="dxa"/>
            <w:tcBorders>
              <w:top w:val="nil"/>
              <w:left w:val="nil"/>
              <w:bottom w:val="single" w:sz="4" w:space="0" w:color="auto"/>
              <w:right w:val="single" w:sz="4" w:space="0" w:color="auto"/>
            </w:tcBorders>
            <w:shd w:val="clear" w:color="auto" w:fill="auto"/>
            <w:noWrap/>
            <w:vAlign w:val="bottom"/>
            <w:hideMark/>
          </w:tcPr>
          <w:p w14:paraId="0A0B8442"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Total avg used</w:t>
            </w:r>
          </w:p>
        </w:tc>
      </w:tr>
      <w:tr w:rsidR="004D75F7" w:rsidRPr="004D75F7" w14:paraId="20A48CEE"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2ED694CF"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Aug</w:t>
            </w:r>
          </w:p>
        </w:tc>
        <w:tc>
          <w:tcPr>
            <w:tcW w:w="1600" w:type="dxa"/>
            <w:tcBorders>
              <w:top w:val="nil"/>
              <w:left w:val="nil"/>
              <w:bottom w:val="single" w:sz="4" w:space="0" w:color="auto"/>
              <w:right w:val="single" w:sz="4" w:space="0" w:color="auto"/>
            </w:tcBorders>
            <w:shd w:val="clear" w:color="auto" w:fill="auto"/>
            <w:noWrap/>
            <w:vAlign w:val="bottom"/>
            <w:hideMark/>
          </w:tcPr>
          <w:p w14:paraId="7917A5BC"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3,828.70</w:t>
            </w:r>
          </w:p>
        </w:tc>
        <w:tc>
          <w:tcPr>
            <w:tcW w:w="1600" w:type="dxa"/>
            <w:tcBorders>
              <w:top w:val="nil"/>
              <w:left w:val="nil"/>
              <w:bottom w:val="single" w:sz="4" w:space="0" w:color="auto"/>
              <w:right w:val="single" w:sz="4" w:space="0" w:color="auto"/>
            </w:tcBorders>
            <w:shd w:val="clear" w:color="auto" w:fill="auto"/>
            <w:noWrap/>
            <w:vAlign w:val="bottom"/>
            <w:hideMark/>
          </w:tcPr>
          <w:p w14:paraId="1B3E03A7"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709.98</w:t>
            </w:r>
          </w:p>
        </w:tc>
        <w:tc>
          <w:tcPr>
            <w:tcW w:w="1600" w:type="dxa"/>
            <w:tcBorders>
              <w:top w:val="nil"/>
              <w:left w:val="nil"/>
              <w:bottom w:val="single" w:sz="4" w:space="0" w:color="auto"/>
              <w:right w:val="single" w:sz="4" w:space="0" w:color="auto"/>
            </w:tcBorders>
            <w:shd w:val="clear" w:color="auto" w:fill="auto"/>
            <w:noWrap/>
            <w:vAlign w:val="bottom"/>
            <w:hideMark/>
          </w:tcPr>
          <w:p w14:paraId="351ED5F1"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3,118.72</w:t>
            </w:r>
          </w:p>
        </w:tc>
        <w:tc>
          <w:tcPr>
            <w:tcW w:w="2280" w:type="dxa"/>
            <w:tcBorders>
              <w:top w:val="nil"/>
              <w:left w:val="nil"/>
              <w:bottom w:val="single" w:sz="4" w:space="0" w:color="auto"/>
              <w:right w:val="single" w:sz="4" w:space="0" w:color="auto"/>
            </w:tcBorders>
            <w:shd w:val="clear" w:color="auto" w:fill="auto"/>
            <w:noWrap/>
            <w:vAlign w:val="bottom"/>
            <w:hideMark/>
          </w:tcPr>
          <w:p w14:paraId="7B0241D5"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Res avg used</w:t>
            </w:r>
          </w:p>
        </w:tc>
      </w:tr>
      <w:tr w:rsidR="004D75F7" w:rsidRPr="004D75F7" w14:paraId="67603AA9"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63BF465F"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Sept</w:t>
            </w:r>
          </w:p>
        </w:tc>
        <w:tc>
          <w:tcPr>
            <w:tcW w:w="1600" w:type="dxa"/>
            <w:tcBorders>
              <w:top w:val="nil"/>
              <w:left w:val="nil"/>
              <w:bottom w:val="single" w:sz="4" w:space="0" w:color="auto"/>
              <w:right w:val="single" w:sz="4" w:space="0" w:color="auto"/>
            </w:tcBorders>
            <w:shd w:val="clear" w:color="auto" w:fill="auto"/>
            <w:noWrap/>
            <w:vAlign w:val="bottom"/>
            <w:hideMark/>
          </w:tcPr>
          <w:p w14:paraId="3BFBA864"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3,245.35</w:t>
            </w:r>
          </w:p>
        </w:tc>
        <w:tc>
          <w:tcPr>
            <w:tcW w:w="1600" w:type="dxa"/>
            <w:tcBorders>
              <w:top w:val="nil"/>
              <w:left w:val="nil"/>
              <w:bottom w:val="single" w:sz="4" w:space="0" w:color="auto"/>
              <w:right w:val="single" w:sz="4" w:space="0" w:color="auto"/>
            </w:tcBorders>
            <w:shd w:val="clear" w:color="auto" w:fill="auto"/>
            <w:noWrap/>
            <w:vAlign w:val="bottom"/>
            <w:hideMark/>
          </w:tcPr>
          <w:p w14:paraId="4077E429"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660.77</w:t>
            </w:r>
          </w:p>
        </w:tc>
        <w:tc>
          <w:tcPr>
            <w:tcW w:w="1600" w:type="dxa"/>
            <w:tcBorders>
              <w:top w:val="nil"/>
              <w:left w:val="nil"/>
              <w:bottom w:val="single" w:sz="4" w:space="0" w:color="auto"/>
              <w:right w:val="single" w:sz="4" w:space="0" w:color="auto"/>
            </w:tcBorders>
            <w:shd w:val="clear" w:color="auto" w:fill="auto"/>
            <w:noWrap/>
            <w:vAlign w:val="bottom"/>
            <w:hideMark/>
          </w:tcPr>
          <w:p w14:paraId="5278DEF2"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2,584.58</w:t>
            </w:r>
          </w:p>
        </w:tc>
        <w:tc>
          <w:tcPr>
            <w:tcW w:w="2280" w:type="dxa"/>
            <w:tcBorders>
              <w:top w:val="nil"/>
              <w:left w:val="nil"/>
              <w:bottom w:val="single" w:sz="4" w:space="0" w:color="auto"/>
              <w:right w:val="single" w:sz="4" w:space="0" w:color="auto"/>
            </w:tcBorders>
            <w:shd w:val="clear" w:color="auto" w:fill="auto"/>
            <w:noWrap/>
            <w:vAlign w:val="bottom"/>
            <w:hideMark/>
          </w:tcPr>
          <w:p w14:paraId="020DD2E5"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3E86D431"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71B74A53"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Oct</w:t>
            </w:r>
          </w:p>
        </w:tc>
        <w:tc>
          <w:tcPr>
            <w:tcW w:w="1600" w:type="dxa"/>
            <w:tcBorders>
              <w:top w:val="nil"/>
              <w:left w:val="nil"/>
              <w:bottom w:val="single" w:sz="4" w:space="0" w:color="auto"/>
              <w:right w:val="single" w:sz="4" w:space="0" w:color="auto"/>
            </w:tcBorders>
            <w:shd w:val="clear" w:color="auto" w:fill="auto"/>
            <w:noWrap/>
            <w:vAlign w:val="bottom"/>
            <w:hideMark/>
          </w:tcPr>
          <w:p w14:paraId="1FAB3655"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3,633.60</w:t>
            </w:r>
          </w:p>
        </w:tc>
        <w:tc>
          <w:tcPr>
            <w:tcW w:w="1600" w:type="dxa"/>
            <w:tcBorders>
              <w:top w:val="nil"/>
              <w:left w:val="nil"/>
              <w:bottom w:val="single" w:sz="4" w:space="0" w:color="auto"/>
              <w:right w:val="single" w:sz="4" w:space="0" w:color="auto"/>
            </w:tcBorders>
            <w:shd w:val="clear" w:color="auto" w:fill="auto"/>
            <w:noWrap/>
            <w:vAlign w:val="bottom"/>
            <w:hideMark/>
          </w:tcPr>
          <w:p w14:paraId="06502F2D"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693.39</w:t>
            </w:r>
          </w:p>
        </w:tc>
        <w:tc>
          <w:tcPr>
            <w:tcW w:w="1600" w:type="dxa"/>
            <w:tcBorders>
              <w:top w:val="nil"/>
              <w:left w:val="nil"/>
              <w:bottom w:val="single" w:sz="4" w:space="0" w:color="auto"/>
              <w:right w:val="single" w:sz="4" w:space="0" w:color="auto"/>
            </w:tcBorders>
            <w:shd w:val="clear" w:color="auto" w:fill="auto"/>
            <w:noWrap/>
            <w:vAlign w:val="bottom"/>
            <w:hideMark/>
          </w:tcPr>
          <w:p w14:paraId="4D2E9216"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2,940.21</w:t>
            </w:r>
          </w:p>
        </w:tc>
        <w:tc>
          <w:tcPr>
            <w:tcW w:w="2280" w:type="dxa"/>
            <w:tcBorders>
              <w:top w:val="nil"/>
              <w:left w:val="nil"/>
              <w:bottom w:val="single" w:sz="4" w:space="0" w:color="auto"/>
              <w:right w:val="single" w:sz="4" w:space="0" w:color="auto"/>
            </w:tcBorders>
            <w:shd w:val="clear" w:color="auto" w:fill="auto"/>
            <w:noWrap/>
            <w:vAlign w:val="bottom"/>
            <w:hideMark/>
          </w:tcPr>
          <w:p w14:paraId="0EA72D70"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4AF43757"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55871F9C"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Nov</w:t>
            </w:r>
          </w:p>
        </w:tc>
        <w:tc>
          <w:tcPr>
            <w:tcW w:w="1600" w:type="dxa"/>
            <w:tcBorders>
              <w:top w:val="nil"/>
              <w:left w:val="nil"/>
              <w:bottom w:val="single" w:sz="4" w:space="0" w:color="auto"/>
              <w:right w:val="single" w:sz="4" w:space="0" w:color="auto"/>
            </w:tcBorders>
            <w:shd w:val="clear" w:color="auto" w:fill="auto"/>
            <w:noWrap/>
            <w:vAlign w:val="bottom"/>
            <w:hideMark/>
          </w:tcPr>
          <w:p w14:paraId="3BD48C46"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3,060.88</w:t>
            </w:r>
          </w:p>
        </w:tc>
        <w:tc>
          <w:tcPr>
            <w:tcW w:w="1600" w:type="dxa"/>
            <w:tcBorders>
              <w:top w:val="nil"/>
              <w:left w:val="nil"/>
              <w:bottom w:val="single" w:sz="4" w:space="0" w:color="auto"/>
              <w:right w:val="single" w:sz="4" w:space="0" w:color="auto"/>
            </w:tcBorders>
            <w:shd w:val="clear" w:color="auto" w:fill="auto"/>
            <w:noWrap/>
            <w:vAlign w:val="bottom"/>
            <w:hideMark/>
          </w:tcPr>
          <w:p w14:paraId="641622C8"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210.87</w:t>
            </w:r>
          </w:p>
        </w:tc>
        <w:tc>
          <w:tcPr>
            <w:tcW w:w="1600" w:type="dxa"/>
            <w:tcBorders>
              <w:top w:val="nil"/>
              <w:left w:val="nil"/>
              <w:bottom w:val="single" w:sz="4" w:space="0" w:color="auto"/>
              <w:right w:val="single" w:sz="4" w:space="0" w:color="auto"/>
            </w:tcBorders>
            <w:shd w:val="clear" w:color="auto" w:fill="auto"/>
            <w:noWrap/>
            <w:vAlign w:val="bottom"/>
            <w:hideMark/>
          </w:tcPr>
          <w:p w14:paraId="40414C31"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2,850.01</w:t>
            </w:r>
          </w:p>
        </w:tc>
        <w:tc>
          <w:tcPr>
            <w:tcW w:w="2280" w:type="dxa"/>
            <w:tcBorders>
              <w:top w:val="nil"/>
              <w:left w:val="nil"/>
              <w:bottom w:val="single" w:sz="4" w:space="0" w:color="auto"/>
              <w:right w:val="single" w:sz="4" w:space="0" w:color="auto"/>
            </w:tcBorders>
            <w:shd w:val="clear" w:color="auto" w:fill="auto"/>
            <w:noWrap/>
            <w:vAlign w:val="bottom"/>
            <w:hideMark/>
          </w:tcPr>
          <w:p w14:paraId="2414BF1B"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Total avg used</w:t>
            </w:r>
          </w:p>
        </w:tc>
      </w:tr>
      <w:tr w:rsidR="004D75F7" w:rsidRPr="004D75F7" w14:paraId="5D8006AB"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15FBD7DB"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Dec</w:t>
            </w:r>
          </w:p>
        </w:tc>
        <w:tc>
          <w:tcPr>
            <w:tcW w:w="1600" w:type="dxa"/>
            <w:tcBorders>
              <w:top w:val="nil"/>
              <w:left w:val="nil"/>
              <w:bottom w:val="single" w:sz="4" w:space="0" w:color="auto"/>
              <w:right w:val="single" w:sz="4" w:space="0" w:color="auto"/>
            </w:tcBorders>
            <w:shd w:val="clear" w:color="auto" w:fill="auto"/>
            <w:noWrap/>
            <w:vAlign w:val="bottom"/>
            <w:hideMark/>
          </w:tcPr>
          <w:p w14:paraId="79949877"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1,873.06</w:t>
            </w:r>
          </w:p>
        </w:tc>
        <w:tc>
          <w:tcPr>
            <w:tcW w:w="1600" w:type="dxa"/>
            <w:tcBorders>
              <w:top w:val="nil"/>
              <w:left w:val="nil"/>
              <w:bottom w:val="single" w:sz="4" w:space="0" w:color="auto"/>
              <w:right w:val="single" w:sz="4" w:space="0" w:color="auto"/>
            </w:tcBorders>
            <w:shd w:val="clear" w:color="auto" w:fill="auto"/>
            <w:noWrap/>
            <w:vAlign w:val="bottom"/>
            <w:hideMark/>
          </w:tcPr>
          <w:p w14:paraId="54A9F801"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895.77</w:t>
            </w:r>
          </w:p>
        </w:tc>
        <w:tc>
          <w:tcPr>
            <w:tcW w:w="1600" w:type="dxa"/>
            <w:tcBorders>
              <w:top w:val="nil"/>
              <w:left w:val="nil"/>
              <w:bottom w:val="single" w:sz="4" w:space="0" w:color="auto"/>
              <w:right w:val="single" w:sz="4" w:space="0" w:color="auto"/>
            </w:tcBorders>
            <w:shd w:val="clear" w:color="auto" w:fill="auto"/>
            <w:noWrap/>
            <w:vAlign w:val="bottom"/>
            <w:hideMark/>
          </w:tcPr>
          <w:p w14:paraId="179C1210"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977.29</w:t>
            </w:r>
          </w:p>
        </w:tc>
        <w:tc>
          <w:tcPr>
            <w:tcW w:w="2280" w:type="dxa"/>
            <w:tcBorders>
              <w:top w:val="nil"/>
              <w:left w:val="nil"/>
              <w:bottom w:val="single" w:sz="4" w:space="0" w:color="auto"/>
              <w:right w:val="single" w:sz="4" w:space="0" w:color="auto"/>
            </w:tcBorders>
            <w:shd w:val="clear" w:color="auto" w:fill="auto"/>
            <w:noWrap/>
            <w:vAlign w:val="bottom"/>
            <w:hideMark/>
          </w:tcPr>
          <w:p w14:paraId="596D9F2A"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63F441B4" w14:textId="77777777" w:rsidTr="004D75F7">
        <w:trPr>
          <w:trHeight w:val="315"/>
        </w:trPr>
        <w:tc>
          <w:tcPr>
            <w:tcW w:w="885" w:type="dxa"/>
            <w:tcBorders>
              <w:top w:val="nil"/>
              <w:left w:val="nil"/>
              <w:bottom w:val="nil"/>
              <w:right w:val="nil"/>
            </w:tcBorders>
            <w:shd w:val="clear" w:color="auto" w:fill="auto"/>
            <w:noWrap/>
            <w:vAlign w:val="bottom"/>
            <w:hideMark/>
          </w:tcPr>
          <w:p w14:paraId="138CA3FE"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p>
        </w:tc>
        <w:tc>
          <w:tcPr>
            <w:tcW w:w="1600" w:type="dxa"/>
            <w:tcBorders>
              <w:top w:val="nil"/>
              <w:left w:val="nil"/>
              <w:bottom w:val="nil"/>
              <w:right w:val="nil"/>
            </w:tcBorders>
            <w:shd w:val="clear" w:color="auto" w:fill="auto"/>
            <w:noWrap/>
            <w:vAlign w:val="bottom"/>
            <w:hideMark/>
          </w:tcPr>
          <w:p w14:paraId="157C00E5"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c>
          <w:tcPr>
            <w:tcW w:w="1600" w:type="dxa"/>
            <w:tcBorders>
              <w:top w:val="nil"/>
              <w:left w:val="nil"/>
              <w:bottom w:val="nil"/>
              <w:right w:val="nil"/>
            </w:tcBorders>
            <w:shd w:val="clear" w:color="auto" w:fill="auto"/>
            <w:noWrap/>
            <w:vAlign w:val="bottom"/>
            <w:hideMark/>
          </w:tcPr>
          <w:p w14:paraId="513B1ED1"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709.98</w:t>
            </w:r>
          </w:p>
        </w:tc>
        <w:tc>
          <w:tcPr>
            <w:tcW w:w="1600" w:type="dxa"/>
            <w:tcBorders>
              <w:top w:val="nil"/>
              <w:left w:val="nil"/>
              <w:bottom w:val="nil"/>
              <w:right w:val="nil"/>
            </w:tcBorders>
            <w:shd w:val="clear" w:color="auto" w:fill="auto"/>
            <w:noWrap/>
            <w:vAlign w:val="bottom"/>
            <w:hideMark/>
          </w:tcPr>
          <w:p w14:paraId="641A18A8"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p>
        </w:tc>
        <w:tc>
          <w:tcPr>
            <w:tcW w:w="2280" w:type="dxa"/>
            <w:tcBorders>
              <w:top w:val="nil"/>
              <w:left w:val="nil"/>
              <w:bottom w:val="nil"/>
              <w:right w:val="nil"/>
            </w:tcBorders>
            <w:shd w:val="clear" w:color="auto" w:fill="auto"/>
            <w:noWrap/>
            <w:vAlign w:val="bottom"/>
            <w:hideMark/>
          </w:tcPr>
          <w:p w14:paraId="5830D1FA"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Res avg estimated</w:t>
            </w:r>
          </w:p>
        </w:tc>
      </w:tr>
      <w:tr w:rsidR="004D75F7" w:rsidRPr="004D75F7" w14:paraId="0BF3E618" w14:textId="77777777" w:rsidTr="004D75F7">
        <w:trPr>
          <w:trHeight w:val="315"/>
        </w:trPr>
        <w:tc>
          <w:tcPr>
            <w:tcW w:w="885" w:type="dxa"/>
            <w:tcBorders>
              <w:top w:val="nil"/>
              <w:left w:val="nil"/>
              <w:bottom w:val="nil"/>
              <w:right w:val="nil"/>
            </w:tcBorders>
            <w:shd w:val="clear" w:color="auto" w:fill="auto"/>
            <w:noWrap/>
            <w:vAlign w:val="bottom"/>
            <w:hideMark/>
          </w:tcPr>
          <w:p w14:paraId="2C898716"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p>
        </w:tc>
        <w:tc>
          <w:tcPr>
            <w:tcW w:w="1600" w:type="dxa"/>
            <w:tcBorders>
              <w:top w:val="nil"/>
              <w:left w:val="nil"/>
              <w:bottom w:val="nil"/>
              <w:right w:val="nil"/>
            </w:tcBorders>
            <w:shd w:val="clear" w:color="auto" w:fill="auto"/>
            <w:noWrap/>
            <w:vAlign w:val="bottom"/>
            <w:hideMark/>
          </w:tcPr>
          <w:p w14:paraId="331011AA"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3,060.88</w:t>
            </w:r>
          </w:p>
        </w:tc>
        <w:tc>
          <w:tcPr>
            <w:tcW w:w="1600" w:type="dxa"/>
            <w:tcBorders>
              <w:top w:val="nil"/>
              <w:left w:val="nil"/>
              <w:bottom w:val="nil"/>
              <w:right w:val="nil"/>
            </w:tcBorders>
            <w:shd w:val="clear" w:color="auto" w:fill="auto"/>
            <w:noWrap/>
            <w:vAlign w:val="bottom"/>
            <w:hideMark/>
          </w:tcPr>
          <w:p w14:paraId="0A8262DB"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p>
        </w:tc>
        <w:tc>
          <w:tcPr>
            <w:tcW w:w="1600" w:type="dxa"/>
            <w:tcBorders>
              <w:top w:val="nil"/>
              <w:left w:val="nil"/>
              <w:bottom w:val="nil"/>
              <w:right w:val="nil"/>
            </w:tcBorders>
            <w:shd w:val="clear" w:color="auto" w:fill="auto"/>
            <w:noWrap/>
            <w:vAlign w:val="bottom"/>
            <w:hideMark/>
          </w:tcPr>
          <w:p w14:paraId="47171299"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c>
          <w:tcPr>
            <w:tcW w:w="2280" w:type="dxa"/>
            <w:tcBorders>
              <w:top w:val="nil"/>
              <w:left w:val="nil"/>
              <w:bottom w:val="nil"/>
              <w:right w:val="nil"/>
            </w:tcBorders>
            <w:shd w:val="clear" w:color="auto" w:fill="auto"/>
            <w:noWrap/>
            <w:vAlign w:val="bottom"/>
            <w:hideMark/>
          </w:tcPr>
          <w:p w14:paraId="5B314368"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Total avg estimated</w:t>
            </w:r>
          </w:p>
        </w:tc>
      </w:tr>
      <w:tr w:rsidR="004D75F7" w:rsidRPr="004D75F7" w14:paraId="3AA8DEA5" w14:textId="77777777" w:rsidTr="004D75F7">
        <w:trPr>
          <w:trHeight w:val="315"/>
        </w:trPr>
        <w:tc>
          <w:tcPr>
            <w:tcW w:w="885" w:type="dxa"/>
            <w:tcBorders>
              <w:top w:val="nil"/>
              <w:left w:val="nil"/>
              <w:bottom w:val="nil"/>
              <w:right w:val="nil"/>
            </w:tcBorders>
            <w:shd w:val="clear" w:color="auto" w:fill="auto"/>
            <w:noWrap/>
            <w:vAlign w:val="bottom"/>
            <w:hideMark/>
          </w:tcPr>
          <w:p w14:paraId="26CEDD1E"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p>
        </w:tc>
        <w:tc>
          <w:tcPr>
            <w:tcW w:w="1600" w:type="dxa"/>
            <w:tcBorders>
              <w:top w:val="nil"/>
              <w:left w:val="nil"/>
              <w:bottom w:val="nil"/>
              <w:right w:val="nil"/>
            </w:tcBorders>
            <w:shd w:val="clear" w:color="auto" w:fill="auto"/>
            <w:noWrap/>
            <w:vAlign w:val="bottom"/>
            <w:hideMark/>
          </w:tcPr>
          <w:p w14:paraId="69059CCA"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c>
          <w:tcPr>
            <w:tcW w:w="1600" w:type="dxa"/>
            <w:tcBorders>
              <w:top w:val="nil"/>
              <w:left w:val="nil"/>
              <w:bottom w:val="nil"/>
              <w:right w:val="nil"/>
            </w:tcBorders>
            <w:shd w:val="clear" w:color="auto" w:fill="auto"/>
            <w:noWrap/>
            <w:vAlign w:val="bottom"/>
            <w:hideMark/>
          </w:tcPr>
          <w:p w14:paraId="175CE9DF"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c>
          <w:tcPr>
            <w:tcW w:w="1600" w:type="dxa"/>
            <w:tcBorders>
              <w:top w:val="nil"/>
              <w:left w:val="nil"/>
              <w:bottom w:val="nil"/>
              <w:right w:val="nil"/>
            </w:tcBorders>
            <w:shd w:val="clear" w:color="auto" w:fill="auto"/>
            <w:noWrap/>
            <w:vAlign w:val="bottom"/>
            <w:hideMark/>
          </w:tcPr>
          <w:p w14:paraId="6284C67C"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c>
          <w:tcPr>
            <w:tcW w:w="2280" w:type="dxa"/>
            <w:tcBorders>
              <w:top w:val="nil"/>
              <w:left w:val="nil"/>
              <w:bottom w:val="nil"/>
              <w:right w:val="nil"/>
            </w:tcBorders>
            <w:shd w:val="clear" w:color="auto" w:fill="auto"/>
            <w:noWrap/>
            <w:vAlign w:val="bottom"/>
            <w:hideMark/>
          </w:tcPr>
          <w:p w14:paraId="1ABF5EE9"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r>
    </w:tbl>
    <w:p w14:paraId="5E3E5816" w14:textId="77777777" w:rsidR="003345CA" w:rsidRDefault="003345CA"/>
    <w:p w14:paraId="3B6E5A3A" w14:textId="77777777" w:rsidR="003345CA" w:rsidRDefault="003345CA"/>
    <w:p w14:paraId="2E4C2299" w14:textId="77777777" w:rsidR="003345CA" w:rsidRDefault="0046350E">
      <w:pPr>
        <w:pStyle w:val="Heading2"/>
        <w:spacing w:before="0"/>
        <w:ind w:left="0"/>
      </w:pPr>
      <w:bookmarkStart w:id="117" w:name="_x1phmwswhynu" w:colFirst="0" w:colLast="0"/>
      <w:bookmarkStart w:id="118" w:name="_ghi6cbz6255h" w:colFirst="0" w:colLast="0"/>
      <w:bookmarkStart w:id="119" w:name="_mqaocw3sbcwl" w:colFirst="0" w:colLast="0"/>
      <w:bookmarkStart w:id="120" w:name="_Toc39826951"/>
      <w:bookmarkEnd w:id="117"/>
      <w:bookmarkEnd w:id="118"/>
      <w:bookmarkEnd w:id="119"/>
      <w:r>
        <w:t>Table II: Compiled Data for Natural Gas Consumption (</w:t>
      </w:r>
      <w:proofErr w:type="spellStart"/>
      <w:r>
        <w:t>Therms</w:t>
      </w:r>
      <w:proofErr w:type="spellEnd"/>
      <w:r>
        <w:t>)</w:t>
      </w:r>
      <w:bookmarkEnd w:id="120"/>
    </w:p>
    <w:p w14:paraId="39D80972" w14:textId="77777777" w:rsidR="003345CA" w:rsidRDefault="003345CA"/>
    <w:tbl>
      <w:tblPr>
        <w:tblStyle w:val="a1"/>
        <w:tblW w:w="6450" w:type="dxa"/>
        <w:tblBorders>
          <w:top w:val="nil"/>
          <w:left w:val="nil"/>
          <w:bottom w:val="nil"/>
          <w:right w:val="nil"/>
          <w:insideH w:val="nil"/>
          <w:insideV w:val="nil"/>
        </w:tblBorders>
        <w:tblLayout w:type="fixed"/>
        <w:tblLook w:val="0600" w:firstRow="0" w:lastRow="0" w:firstColumn="0" w:lastColumn="0" w:noHBand="1" w:noVBand="1"/>
      </w:tblPr>
      <w:tblGrid>
        <w:gridCol w:w="1950"/>
        <w:gridCol w:w="1500"/>
        <w:gridCol w:w="1500"/>
        <w:gridCol w:w="1500"/>
      </w:tblGrid>
      <w:tr w:rsidR="003345CA" w14:paraId="469293EE" w14:textId="77777777">
        <w:trPr>
          <w:trHeight w:val="315"/>
        </w:trPr>
        <w:tc>
          <w:tcPr>
            <w:tcW w:w="1950" w:type="dxa"/>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bottom"/>
          </w:tcPr>
          <w:p w14:paraId="2FEF274B"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Month</w:t>
            </w:r>
          </w:p>
        </w:tc>
        <w:tc>
          <w:tcPr>
            <w:tcW w:w="1500" w:type="dxa"/>
            <w:tcBorders>
              <w:top w:val="single" w:sz="6" w:space="0" w:color="000000"/>
              <w:left w:val="single" w:sz="6" w:space="0" w:color="CCCCCC"/>
              <w:bottom w:val="single" w:sz="6" w:space="0" w:color="CCCCCC"/>
              <w:right w:val="single" w:sz="6" w:space="0" w:color="000000"/>
            </w:tcBorders>
            <w:tcMar>
              <w:top w:w="40" w:type="dxa"/>
              <w:left w:w="40" w:type="dxa"/>
              <w:bottom w:w="40" w:type="dxa"/>
              <w:right w:w="40" w:type="dxa"/>
            </w:tcMar>
            <w:vAlign w:val="bottom"/>
          </w:tcPr>
          <w:p w14:paraId="04C329AA"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Total</w:t>
            </w:r>
          </w:p>
        </w:tc>
        <w:tc>
          <w:tcPr>
            <w:tcW w:w="1500" w:type="dxa"/>
            <w:tcBorders>
              <w:top w:val="single" w:sz="6" w:space="0" w:color="000000"/>
              <w:left w:val="single" w:sz="6" w:space="0" w:color="CCCCCC"/>
              <w:bottom w:val="single" w:sz="6" w:space="0" w:color="CCCCCC"/>
              <w:right w:val="single" w:sz="6" w:space="0" w:color="000000"/>
            </w:tcBorders>
            <w:tcMar>
              <w:top w:w="40" w:type="dxa"/>
              <w:left w:w="40" w:type="dxa"/>
              <w:bottom w:w="40" w:type="dxa"/>
              <w:right w:w="40" w:type="dxa"/>
            </w:tcMar>
            <w:vAlign w:val="bottom"/>
          </w:tcPr>
          <w:p w14:paraId="4E2201D3"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Residential</w:t>
            </w:r>
          </w:p>
        </w:tc>
        <w:tc>
          <w:tcPr>
            <w:tcW w:w="1500" w:type="dxa"/>
            <w:tcBorders>
              <w:top w:val="single" w:sz="6" w:space="0" w:color="000000"/>
              <w:left w:val="single" w:sz="6" w:space="0" w:color="CCCCCC"/>
              <w:bottom w:val="single" w:sz="6" w:space="0" w:color="CCCCCC"/>
              <w:right w:val="single" w:sz="6" w:space="0" w:color="000000"/>
            </w:tcBorders>
            <w:tcMar>
              <w:top w:w="40" w:type="dxa"/>
              <w:left w:w="40" w:type="dxa"/>
              <w:bottom w:w="40" w:type="dxa"/>
              <w:right w:w="40" w:type="dxa"/>
            </w:tcMar>
            <w:vAlign w:val="bottom"/>
          </w:tcPr>
          <w:p w14:paraId="09ACD5CB" w14:textId="0092A47C"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Business</w:t>
            </w:r>
            <w:r w:rsidR="00157847">
              <w:rPr>
                <w:rFonts w:ascii="Arial" w:eastAsia="Arial" w:hAnsi="Arial" w:cs="Arial"/>
                <w:sz w:val="20"/>
                <w:szCs w:val="20"/>
              </w:rPr>
              <w:t xml:space="preserve"> (C&amp;I)</w:t>
            </w:r>
          </w:p>
        </w:tc>
      </w:tr>
      <w:tr w:rsidR="003345CA" w14:paraId="4C1E0935"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0041DA5F"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January</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96317DE"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405,327.00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997AA0A"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270,361.00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A633CBD"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134,966.00</w:t>
            </w:r>
          </w:p>
        </w:tc>
      </w:tr>
      <w:tr w:rsidR="003345CA" w14:paraId="5CEEFA61"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37541B7C"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February</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0AF26BC"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343,092.00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4A6DC71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203,801.00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07BEAE3"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139,291.00</w:t>
            </w:r>
          </w:p>
        </w:tc>
      </w:tr>
      <w:tr w:rsidR="003345CA" w14:paraId="07E58FE6"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57083514"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March</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0E911EF"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250,716.00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861FD94"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153,893.00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2249E511"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96,823.00</w:t>
            </w:r>
          </w:p>
        </w:tc>
      </w:tr>
      <w:tr w:rsidR="003345CA" w14:paraId="1294DF99"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0CCE326A"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April</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5D70C766"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302,205.00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4A9E8B6A"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187,419.00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F5748E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114,786.00</w:t>
            </w:r>
          </w:p>
        </w:tc>
      </w:tr>
      <w:tr w:rsidR="003345CA" w14:paraId="70BF69C8"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452B8F6"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May</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248EA10B"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113,818.00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EC4D73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54,302.00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0817056"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59,516.00</w:t>
            </w:r>
          </w:p>
        </w:tc>
      </w:tr>
      <w:tr w:rsidR="003345CA" w14:paraId="4F40E7DC"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A4A15FD"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June</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73A8054"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50,384.00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A59BBE7"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33,743.00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F8A7F43"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16,641.00</w:t>
            </w:r>
          </w:p>
        </w:tc>
      </w:tr>
      <w:tr w:rsidR="003345CA" w14:paraId="562023B3"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080BB772"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July</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44893FB2"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30,197.00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05D5ABE"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20,567.00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86F0502"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9,630.00</w:t>
            </w:r>
          </w:p>
        </w:tc>
      </w:tr>
      <w:tr w:rsidR="003345CA" w14:paraId="3B989223"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2A065B2D"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August</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50E49C52"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30,590.00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D4DE0DC"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22,418.00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5FB8476A"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8,172.00</w:t>
            </w:r>
          </w:p>
        </w:tc>
      </w:tr>
      <w:tr w:rsidR="003345CA" w14:paraId="5DFA40ED"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672B2061"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September</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C861701"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27,276.00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F2D858A"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19,783.00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5068C27E"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7,493.00</w:t>
            </w:r>
          </w:p>
        </w:tc>
      </w:tr>
      <w:tr w:rsidR="003345CA" w14:paraId="1F693A19"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6499A62D"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October</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58903A1"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84,452.00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245D3E4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65,294.00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282B47AB"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19,158.00</w:t>
            </w:r>
          </w:p>
        </w:tc>
      </w:tr>
      <w:tr w:rsidR="003345CA" w14:paraId="13BDA652"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22E695CB"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November</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30D55E1"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175,544.00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1A45701"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124,536.00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8AA990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51,008.00</w:t>
            </w:r>
          </w:p>
        </w:tc>
      </w:tr>
      <w:tr w:rsidR="003345CA" w14:paraId="726FBC0D" w14:textId="77777777">
        <w:trPr>
          <w:trHeight w:val="345"/>
        </w:trPr>
        <w:tc>
          <w:tcPr>
            <w:tcW w:w="19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DA2462B"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December</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6ACA2C"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282,096.00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DAB8D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187,304.00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F245E2"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94,792.00</w:t>
            </w:r>
          </w:p>
        </w:tc>
      </w:tr>
      <w:tr w:rsidR="003345CA" w14:paraId="0D1BA49E" w14:textId="77777777">
        <w:trPr>
          <w:trHeight w:val="315"/>
        </w:trPr>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8E2D77"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 xml:space="preserve">Total </w:t>
            </w:r>
            <w:proofErr w:type="spellStart"/>
            <w:r>
              <w:rPr>
                <w:rFonts w:ascii="Arial" w:eastAsia="Arial" w:hAnsi="Arial" w:cs="Arial"/>
                <w:sz w:val="20"/>
                <w:szCs w:val="20"/>
              </w:rPr>
              <w:t>Therms</w:t>
            </w:r>
            <w:proofErr w:type="spellEnd"/>
            <w:r>
              <w:rPr>
                <w:rFonts w:ascii="Arial" w:eastAsia="Arial" w:hAnsi="Arial" w:cs="Arial"/>
                <w:sz w:val="20"/>
                <w:szCs w:val="20"/>
              </w:rPr>
              <w:t xml:space="preserve"> Used</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731A0D"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2,095,697.00</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BB4D2D"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1,343,421.00</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8C72C5"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752,276.00</w:t>
            </w:r>
          </w:p>
        </w:tc>
      </w:tr>
    </w:tbl>
    <w:p w14:paraId="78870BF3" w14:textId="77777777" w:rsidR="003345CA" w:rsidRDefault="003345CA">
      <w:pPr>
        <w:pStyle w:val="Heading2"/>
        <w:spacing w:before="240"/>
        <w:ind w:left="0"/>
      </w:pPr>
      <w:bookmarkStart w:id="121" w:name="_ba1bgb2btwou" w:colFirst="0" w:colLast="0"/>
      <w:bookmarkEnd w:id="121"/>
    </w:p>
    <w:p w14:paraId="5A6B9739" w14:textId="77777777" w:rsidR="003345CA" w:rsidRDefault="0046350E">
      <w:pPr>
        <w:pStyle w:val="Heading2"/>
        <w:spacing w:before="240"/>
        <w:ind w:left="0"/>
      </w:pPr>
      <w:bookmarkStart w:id="122" w:name="_rkaqes68ujjg" w:colFirst="0" w:colLast="0"/>
      <w:bookmarkStart w:id="123" w:name="_rj01n47d4mh9" w:colFirst="0" w:colLast="0"/>
      <w:bookmarkStart w:id="124" w:name="_Toc39826952"/>
      <w:bookmarkEnd w:id="122"/>
      <w:bookmarkEnd w:id="123"/>
      <w:r>
        <w:t>Table III: Compiled Data for Transportation (AVMT)</w:t>
      </w:r>
      <w:bookmarkEnd w:id="124"/>
    </w:p>
    <w:p w14:paraId="6C95423E" w14:textId="77777777" w:rsidR="003345CA" w:rsidRDefault="003345CA"/>
    <w:tbl>
      <w:tblPr>
        <w:tblStyle w:val="a2"/>
        <w:tblW w:w="7935" w:type="dxa"/>
        <w:tblBorders>
          <w:top w:val="nil"/>
          <w:left w:val="nil"/>
          <w:bottom w:val="nil"/>
          <w:right w:val="nil"/>
          <w:insideH w:val="nil"/>
          <w:insideV w:val="nil"/>
        </w:tblBorders>
        <w:tblLayout w:type="fixed"/>
        <w:tblLook w:val="0600" w:firstRow="0" w:lastRow="0" w:firstColumn="0" w:lastColumn="0" w:noHBand="1" w:noVBand="1"/>
      </w:tblPr>
      <w:tblGrid>
        <w:gridCol w:w="5985"/>
        <w:gridCol w:w="1950"/>
      </w:tblGrid>
      <w:tr w:rsidR="003345CA" w14:paraId="75E1E05F" w14:textId="77777777">
        <w:trPr>
          <w:trHeight w:val="525"/>
        </w:trPr>
        <w:tc>
          <w:tcPr>
            <w:tcW w:w="5985" w:type="dxa"/>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bottom"/>
          </w:tcPr>
          <w:p w14:paraId="351B2AE0"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Total Annual Vehicle Miles Traveled (AVMT) 2018:</w:t>
            </w:r>
          </w:p>
        </w:tc>
        <w:tc>
          <w:tcPr>
            <w:tcW w:w="1950" w:type="dxa"/>
            <w:tcBorders>
              <w:top w:val="single" w:sz="6" w:space="0" w:color="000000"/>
              <w:left w:val="single" w:sz="6" w:space="0" w:color="CCCCCC"/>
              <w:bottom w:val="single" w:sz="6" w:space="0" w:color="CCCCCC"/>
              <w:right w:val="single" w:sz="6" w:space="0" w:color="000000"/>
            </w:tcBorders>
            <w:tcMar>
              <w:top w:w="40" w:type="dxa"/>
              <w:left w:w="40" w:type="dxa"/>
              <w:bottom w:w="40" w:type="dxa"/>
              <w:right w:w="40" w:type="dxa"/>
            </w:tcMar>
            <w:vAlign w:val="bottom"/>
          </w:tcPr>
          <w:p w14:paraId="6E48B202"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35,565,080</w:t>
            </w:r>
          </w:p>
        </w:tc>
      </w:tr>
      <w:tr w:rsidR="003345CA" w14:paraId="568064F1" w14:textId="77777777">
        <w:trPr>
          <w:trHeight w:val="315"/>
        </w:trPr>
        <w:tc>
          <w:tcPr>
            <w:tcW w:w="598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569A135"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Annual VMT with AADT</w:t>
            </w:r>
          </w:p>
        </w:tc>
        <w:tc>
          <w:tcPr>
            <w:tcW w:w="195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05A6277"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32,652,380.50</w:t>
            </w:r>
          </w:p>
        </w:tc>
      </w:tr>
      <w:tr w:rsidR="003345CA" w14:paraId="0AC5AE46" w14:textId="77777777">
        <w:trPr>
          <w:trHeight w:val="315"/>
        </w:trPr>
        <w:tc>
          <w:tcPr>
            <w:tcW w:w="598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16AD592E"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Annual VMT for manually calculated AADT</w:t>
            </w:r>
          </w:p>
        </w:tc>
        <w:tc>
          <w:tcPr>
            <w:tcW w:w="195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342F535"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2,912,700</w:t>
            </w:r>
          </w:p>
        </w:tc>
      </w:tr>
      <w:tr w:rsidR="003345CA" w14:paraId="4AA0475E" w14:textId="77777777">
        <w:trPr>
          <w:trHeight w:val="525"/>
        </w:trPr>
        <w:tc>
          <w:tcPr>
            <w:tcW w:w="598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5CBB79DC"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lastRenderedPageBreak/>
              <w:t>Total length of road segments in Village of Homer with AADT:</w:t>
            </w:r>
          </w:p>
        </w:tc>
        <w:tc>
          <w:tcPr>
            <w:tcW w:w="195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F3EE33C"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9.905</w:t>
            </w:r>
          </w:p>
        </w:tc>
      </w:tr>
      <w:tr w:rsidR="003345CA" w14:paraId="3D2CB91E" w14:textId="77777777">
        <w:trPr>
          <w:trHeight w:val="525"/>
        </w:trPr>
        <w:tc>
          <w:tcPr>
            <w:tcW w:w="59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1DEC16F"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Total length of road segments in Village of Homer without AADT:</w:t>
            </w:r>
          </w:p>
        </w:tc>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AF8275"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15.12</w:t>
            </w:r>
          </w:p>
        </w:tc>
      </w:tr>
    </w:tbl>
    <w:p w14:paraId="77C692FB" w14:textId="77777777" w:rsidR="003345CA" w:rsidRDefault="003345CA">
      <w:pPr>
        <w:pStyle w:val="Heading2"/>
        <w:spacing w:before="240"/>
        <w:ind w:left="0"/>
      </w:pPr>
      <w:bookmarkStart w:id="125" w:name="_n3dfne3wz8ux" w:colFirst="0" w:colLast="0"/>
      <w:bookmarkEnd w:id="125"/>
    </w:p>
    <w:p w14:paraId="0FA2539E" w14:textId="77777777" w:rsidR="003345CA" w:rsidRDefault="0046350E">
      <w:pPr>
        <w:pStyle w:val="Heading2"/>
        <w:spacing w:before="240"/>
        <w:ind w:left="0"/>
      </w:pPr>
      <w:bookmarkStart w:id="126" w:name="_kg8indfn4d1u" w:colFirst="0" w:colLast="0"/>
      <w:bookmarkStart w:id="127" w:name="_60v3y19n7l3p" w:colFirst="0" w:colLast="0"/>
      <w:bookmarkStart w:id="128" w:name="_Toc39826953"/>
      <w:bookmarkEnd w:id="126"/>
      <w:bookmarkEnd w:id="127"/>
      <w:r>
        <w:t xml:space="preserve">Table </w:t>
      </w:r>
      <w:proofErr w:type="gramStart"/>
      <w:r>
        <w:t>IV :</w:t>
      </w:r>
      <w:proofErr w:type="gramEnd"/>
      <w:r>
        <w:t xml:space="preserve"> Compiled Solid Waste Data (Tons)</w:t>
      </w:r>
      <w:bookmarkEnd w:id="128"/>
      <w:r>
        <w:t xml:space="preserve"> </w:t>
      </w:r>
    </w:p>
    <w:p w14:paraId="616E967C" w14:textId="77777777" w:rsidR="003345CA" w:rsidRDefault="003345CA"/>
    <w:tbl>
      <w:tblPr>
        <w:tblStyle w:val="a3"/>
        <w:tblW w:w="3525" w:type="dxa"/>
        <w:tblBorders>
          <w:top w:val="nil"/>
          <w:left w:val="nil"/>
          <w:bottom w:val="nil"/>
          <w:right w:val="nil"/>
          <w:insideH w:val="nil"/>
          <w:insideV w:val="nil"/>
        </w:tblBorders>
        <w:tblLayout w:type="fixed"/>
        <w:tblLook w:val="0600" w:firstRow="0" w:lastRow="0" w:firstColumn="0" w:lastColumn="0" w:noHBand="1" w:noVBand="1"/>
      </w:tblPr>
      <w:tblGrid>
        <w:gridCol w:w="1740"/>
        <w:gridCol w:w="1785"/>
      </w:tblGrid>
      <w:tr w:rsidR="003345CA" w14:paraId="183DFA84" w14:textId="77777777">
        <w:trPr>
          <w:trHeight w:val="315"/>
        </w:trPr>
        <w:tc>
          <w:tcPr>
            <w:tcW w:w="1740" w:type="dxa"/>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bottom"/>
          </w:tcPr>
          <w:p w14:paraId="6A8FF4D3"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Month</w:t>
            </w:r>
          </w:p>
        </w:tc>
        <w:tc>
          <w:tcPr>
            <w:tcW w:w="1785" w:type="dxa"/>
            <w:tcBorders>
              <w:top w:val="single" w:sz="6" w:space="0" w:color="000000"/>
              <w:left w:val="single" w:sz="6" w:space="0" w:color="CCCCCC"/>
              <w:bottom w:val="single" w:sz="6" w:space="0" w:color="CCCCCC"/>
              <w:right w:val="single" w:sz="6" w:space="0" w:color="000000"/>
            </w:tcBorders>
            <w:tcMar>
              <w:top w:w="40" w:type="dxa"/>
              <w:left w:w="40" w:type="dxa"/>
              <w:bottom w:w="40" w:type="dxa"/>
              <w:right w:w="40" w:type="dxa"/>
            </w:tcMar>
            <w:vAlign w:val="bottom"/>
          </w:tcPr>
          <w:p w14:paraId="2FB0446E"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Solid Waste (Tons)</w:t>
            </w:r>
          </w:p>
        </w:tc>
      </w:tr>
      <w:tr w:rsidR="003345CA" w14:paraId="5632AB3D"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1CC06988"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January</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C9D3623"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71.89</w:t>
            </w:r>
          </w:p>
        </w:tc>
      </w:tr>
      <w:tr w:rsidR="003345CA" w14:paraId="50D06DE8"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0E02AC9"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February</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2D642E0"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61.98</w:t>
            </w:r>
          </w:p>
        </w:tc>
      </w:tr>
      <w:tr w:rsidR="003345CA" w14:paraId="383B8532"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671531A6"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March</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31E9B60"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38.44</w:t>
            </w:r>
          </w:p>
        </w:tc>
      </w:tr>
      <w:tr w:rsidR="003345CA" w14:paraId="1163AC89"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5E71A867"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April</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49565E12"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66.96</w:t>
            </w:r>
          </w:p>
        </w:tc>
      </w:tr>
      <w:tr w:rsidR="003345CA" w14:paraId="212E0FAE"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37DECF00"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May</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9B7F48F"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76.03</w:t>
            </w:r>
          </w:p>
        </w:tc>
      </w:tr>
      <w:tr w:rsidR="003345CA" w14:paraId="341D8B9A"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F1C5841"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June</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D72B1D7"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75.34</w:t>
            </w:r>
          </w:p>
        </w:tc>
      </w:tr>
      <w:tr w:rsidR="003345CA" w14:paraId="02544938"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6C816E95"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July</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C7C2997"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92.19</w:t>
            </w:r>
          </w:p>
        </w:tc>
      </w:tr>
      <w:tr w:rsidR="003345CA" w14:paraId="26DE4440"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689A821"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August</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A040270"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73.23</w:t>
            </w:r>
          </w:p>
        </w:tc>
      </w:tr>
      <w:tr w:rsidR="003345CA" w14:paraId="3B7E008B"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37ED229E"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September</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F55D94C"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74.39</w:t>
            </w:r>
          </w:p>
        </w:tc>
      </w:tr>
      <w:tr w:rsidR="003345CA" w14:paraId="02978F8A"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6BE7965B"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October</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2E80144D"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72.38</w:t>
            </w:r>
          </w:p>
        </w:tc>
      </w:tr>
      <w:tr w:rsidR="003345CA" w14:paraId="421897F6"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0B6A5224"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November</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8DDDA9E"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84.42</w:t>
            </w:r>
          </w:p>
        </w:tc>
      </w:tr>
      <w:tr w:rsidR="003345CA" w14:paraId="71E339B8"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448A8845"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December</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19A9217"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66.49</w:t>
            </w:r>
          </w:p>
        </w:tc>
      </w:tr>
      <w:tr w:rsidR="003345CA" w14:paraId="28E9AD45"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352A3EFB"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Annual Total</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0BEF5D5"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853.74</w:t>
            </w:r>
          </w:p>
        </w:tc>
      </w:tr>
      <w:tr w:rsidR="003345CA" w14:paraId="7B7D872B" w14:textId="77777777">
        <w:trPr>
          <w:trHeight w:val="315"/>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7A8EF15"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Annual Per Capita</w:t>
            </w:r>
          </w:p>
        </w:tc>
        <w:tc>
          <w:tcPr>
            <w:tcW w:w="17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E8C941"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0.02121569879</w:t>
            </w:r>
          </w:p>
        </w:tc>
      </w:tr>
    </w:tbl>
    <w:p w14:paraId="19B7848B" w14:textId="77777777" w:rsidR="003345CA" w:rsidRDefault="0046350E">
      <w:pPr>
        <w:pBdr>
          <w:top w:val="nil"/>
          <w:left w:val="nil"/>
          <w:bottom w:val="nil"/>
          <w:right w:val="nil"/>
          <w:between w:val="nil"/>
        </w:pBdr>
        <w:rPr>
          <w:b/>
        </w:rPr>
      </w:pPr>
      <w:r>
        <w:br w:type="page"/>
      </w:r>
    </w:p>
    <w:p w14:paraId="30648F28" w14:textId="77777777" w:rsidR="003345CA" w:rsidRDefault="0046350E">
      <w:pPr>
        <w:pStyle w:val="Heading1"/>
      </w:pPr>
      <w:bookmarkStart w:id="129" w:name="_z7wb1wwa45rf" w:colFirst="0" w:colLast="0"/>
      <w:bookmarkStart w:id="130" w:name="_Toc39826954"/>
      <w:bookmarkEnd w:id="129"/>
      <w:r>
        <w:lastRenderedPageBreak/>
        <w:t>Acknowledgements</w:t>
      </w:r>
      <w:bookmarkEnd w:id="130"/>
    </w:p>
    <w:p w14:paraId="1CD4B006" w14:textId="77777777" w:rsidR="003345CA" w:rsidRDefault="0046350E">
      <w:pPr>
        <w:widowControl w:val="0"/>
        <w:numPr>
          <w:ilvl w:val="1"/>
          <w:numId w:val="2"/>
        </w:numPr>
        <w:spacing w:before="0" w:line="276" w:lineRule="auto"/>
        <w:rPr>
          <w:color w:val="000000"/>
        </w:rPr>
      </w:pPr>
      <w:r>
        <w:t>Amanda Mazzoni, Senior Planner at the Central New York Regional Planning and Development Board</w:t>
      </w:r>
    </w:p>
    <w:p w14:paraId="26719C64" w14:textId="77777777" w:rsidR="003345CA" w:rsidRDefault="0046350E">
      <w:pPr>
        <w:widowControl w:val="0"/>
        <w:numPr>
          <w:ilvl w:val="1"/>
          <w:numId w:val="2"/>
        </w:numPr>
        <w:spacing w:before="0" w:line="276" w:lineRule="auto"/>
        <w:rPr>
          <w:color w:val="000000"/>
        </w:rPr>
      </w:pPr>
      <w:r>
        <w:t>The Village of Homer Board of Trustees</w:t>
      </w:r>
    </w:p>
    <w:p w14:paraId="6F89635E" w14:textId="77777777" w:rsidR="003345CA" w:rsidRDefault="0046350E">
      <w:pPr>
        <w:widowControl w:val="0"/>
        <w:numPr>
          <w:ilvl w:val="1"/>
          <w:numId w:val="2"/>
        </w:numPr>
        <w:spacing w:before="0" w:line="276" w:lineRule="auto"/>
        <w:rPr>
          <w:color w:val="000000"/>
        </w:rPr>
      </w:pPr>
      <w:r>
        <w:t xml:space="preserve">Dan </w:t>
      </w:r>
      <w:proofErr w:type="spellStart"/>
      <w:r>
        <w:t>Egnor</w:t>
      </w:r>
      <w:proofErr w:type="spellEnd"/>
      <w:r>
        <w:t>, Village of Homer Clerk</w:t>
      </w:r>
    </w:p>
    <w:p w14:paraId="04B61273" w14:textId="77777777" w:rsidR="003345CA" w:rsidRDefault="0046350E">
      <w:pPr>
        <w:widowControl w:val="0"/>
        <w:numPr>
          <w:ilvl w:val="1"/>
          <w:numId w:val="2"/>
        </w:numPr>
        <w:spacing w:before="0" w:line="276" w:lineRule="auto"/>
        <w:rPr>
          <w:color w:val="000000"/>
        </w:rPr>
      </w:pPr>
      <w:r>
        <w:t>Dr. Josh Cousins, Assistant Professor at ESF</w:t>
      </w:r>
    </w:p>
    <w:p w14:paraId="57EE7EA6" w14:textId="77777777" w:rsidR="003345CA" w:rsidRDefault="0046350E">
      <w:pPr>
        <w:widowControl w:val="0"/>
        <w:numPr>
          <w:ilvl w:val="1"/>
          <w:numId w:val="2"/>
        </w:numPr>
        <w:spacing w:before="0" w:after="320" w:line="276" w:lineRule="auto"/>
        <w:rPr>
          <w:color w:val="000000"/>
        </w:rPr>
      </w:pPr>
      <w:r>
        <w:t>Village of Homer Green Team</w:t>
      </w:r>
    </w:p>
    <w:p w14:paraId="737D7AF9" w14:textId="77777777" w:rsidR="003345CA" w:rsidRDefault="0046350E" w:rsidP="00071979">
      <w:pPr>
        <w:jc w:val="center"/>
      </w:pPr>
      <w:bookmarkStart w:id="131" w:name="_lcddbbqeq5n0" w:colFirst="0" w:colLast="0"/>
      <w:bookmarkEnd w:id="131"/>
      <w:r>
        <w:rPr>
          <w:noProof/>
        </w:rPr>
        <w:drawing>
          <wp:inline distT="114300" distB="114300" distL="114300" distR="114300" wp14:anchorId="22E9EDC6" wp14:editId="035385AC">
            <wp:extent cx="3949700" cy="2962275"/>
            <wp:effectExtent l="-493712" t="493712" r="-493712" b="493712"/>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rot="16200000">
                      <a:off x="0" y="0"/>
                      <a:ext cx="3949700" cy="2962275"/>
                    </a:xfrm>
                    <a:prstGeom prst="rect">
                      <a:avLst/>
                    </a:prstGeom>
                    <a:ln/>
                  </pic:spPr>
                </pic:pic>
              </a:graphicData>
            </a:graphic>
          </wp:inline>
        </w:drawing>
      </w:r>
      <w:r>
        <w:br/>
        <w:t>(Photo taken by Andrew Goodwin)</w:t>
      </w:r>
    </w:p>
    <w:p w14:paraId="2FE3860A" w14:textId="77777777" w:rsidR="003345CA" w:rsidRDefault="003345CA">
      <w:pPr>
        <w:pStyle w:val="Heading1"/>
        <w:jc w:val="center"/>
      </w:pPr>
      <w:bookmarkStart w:id="132" w:name="_312ykzxno73g" w:colFirst="0" w:colLast="0"/>
      <w:bookmarkEnd w:id="132"/>
    </w:p>
    <w:p w14:paraId="4699F08B" w14:textId="77777777" w:rsidR="003345CA" w:rsidRDefault="003345CA">
      <w:pPr>
        <w:pStyle w:val="Heading1"/>
      </w:pPr>
      <w:bookmarkStart w:id="133" w:name="_ctq06lluk2f" w:colFirst="0" w:colLast="0"/>
      <w:bookmarkEnd w:id="133"/>
    </w:p>
    <w:p w14:paraId="70890AEA" w14:textId="77777777" w:rsidR="003345CA" w:rsidRDefault="0046350E">
      <w:pPr>
        <w:pStyle w:val="Heading1"/>
        <w:jc w:val="center"/>
      </w:pPr>
      <w:bookmarkStart w:id="134" w:name="_ig3w98auznu" w:colFirst="0" w:colLast="0"/>
      <w:bookmarkStart w:id="135" w:name="_prxgpn68bbnv" w:colFirst="0" w:colLast="0"/>
      <w:bookmarkStart w:id="136" w:name="_Toc39826955"/>
      <w:bookmarkEnd w:id="134"/>
      <w:bookmarkEnd w:id="135"/>
      <w:r>
        <w:lastRenderedPageBreak/>
        <w:t>References</w:t>
      </w:r>
      <w:bookmarkEnd w:id="136"/>
    </w:p>
    <w:p w14:paraId="5474A892" w14:textId="77777777" w:rsidR="003345CA" w:rsidRDefault="003345CA">
      <w:pPr>
        <w:pBdr>
          <w:top w:val="nil"/>
          <w:left w:val="nil"/>
          <w:bottom w:val="nil"/>
          <w:right w:val="nil"/>
          <w:between w:val="nil"/>
        </w:pBdr>
      </w:pPr>
    </w:p>
    <w:p w14:paraId="1A73C2BB" w14:textId="77777777" w:rsidR="003345CA" w:rsidRDefault="0046350E">
      <w:pPr>
        <w:pBdr>
          <w:top w:val="nil"/>
          <w:left w:val="nil"/>
          <w:bottom w:val="nil"/>
          <w:right w:val="nil"/>
          <w:between w:val="nil"/>
        </w:pBdr>
        <w:ind w:left="720" w:hanging="720"/>
      </w:pPr>
      <w:r>
        <w:t>Climate Smart New York. (2018, April 19). Retrieved April 1, 2020, from      https://climatesmart.ny.gov/actions-certification/why-become-certified</w:t>
      </w:r>
    </w:p>
    <w:p w14:paraId="660243AB" w14:textId="77777777" w:rsidR="003345CA" w:rsidRDefault="003345CA">
      <w:pPr>
        <w:pBdr>
          <w:top w:val="nil"/>
          <w:left w:val="nil"/>
          <w:bottom w:val="nil"/>
          <w:right w:val="nil"/>
          <w:between w:val="nil"/>
        </w:pBdr>
        <w:ind w:left="720" w:hanging="720"/>
      </w:pPr>
    </w:p>
    <w:p w14:paraId="7FEAD8C0" w14:textId="77777777" w:rsidR="003345CA" w:rsidRDefault="0046350E">
      <w:pPr>
        <w:pBdr>
          <w:top w:val="nil"/>
          <w:left w:val="nil"/>
          <w:bottom w:val="nil"/>
          <w:right w:val="nil"/>
          <w:between w:val="nil"/>
        </w:pBdr>
        <w:ind w:left="720" w:hanging="720"/>
      </w:pPr>
      <w:r>
        <w:t xml:space="preserve">Climate Smart New York. (2020, January 3). Retrieved April 6, 2020, from </w:t>
      </w:r>
      <w:hyperlink r:id="rId27" w:anchor="open/action/7">
        <w:r>
          <w:rPr>
            <w:color w:val="1155CC"/>
            <w:u w:val="single"/>
          </w:rPr>
          <w:t>https://climatesmart.ny.gov/actions-certification/actions/#open/action/7</w:t>
        </w:r>
      </w:hyperlink>
    </w:p>
    <w:p w14:paraId="6F8A3196" w14:textId="77777777" w:rsidR="003345CA" w:rsidRDefault="003345CA">
      <w:pPr>
        <w:pBdr>
          <w:top w:val="nil"/>
          <w:left w:val="nil"/>
          <w:bottom w:val="nil"/>
          <w:right w:val="nil"/>
          <w:between w:val="nil"/>
        </w:pBdr>
        <w:ind w:left="720" w:hanging="720"/>
      </w:pPr>
    </w:p>
    <w:p w14:paraId="239D40CE" w14:textId="77777777" w:rsidR="003345CA" w:rsidRDefault="0046350E">
      <w:pPr>
        <w:pBdr>
          <w:top w:val="nil"/>
          <w:left w:val="nil"/>
          <w:bottom w:val="nil"/>
          <w:right w:val="nil"/>
          <w:between w:val="nil"/>
        </w:pBdr>
        <w:ind w:left="720" w:hanging="720"/>
      </w:pPr>
      <w:r>
        <w:t>Energy Studies for Small Commercial and Not-For-Profit Entities. (n.d.). Retrieved from https://www.nyserda.ny.gov/All-Programs/Programs/Small-Commercial-Energy-Assessments</w:t>
      </w:r>
    </w:p>
    <w:p w14:paraId="62CBD54F" w14:textId="77777777" w:rsidR="003345CA" w:rsidRDefault="003345CA">
      <w:pPr>
        <w:pBdr>
          <w:top w:val="nil"/>
          <w:left w:val="nil"/>
          <w:bottom w:val="nil"/>
          <w:right w:val="nil"/>
          <w:between w:val="nil"/>
        </w:pBdr>
        <w:ind w:left="720" w:hanging="720"/>
      </w:pPr>
    </w:p>
    <w:p w14:paraId="40C31390" w14:textId="77777777" w:rsidR="003345CA" w:rsidRDefault="0046350E">
      <w:pPr>
        <w:pBdr>
          <w:top w:val="nil"/>
          <w:left w:val="nil"/>
          <w:bottom w:val="nil"/>
          <w:right w:val="nil"/>
          <w:between w:val="nil"/>
        </w:pBdr>
        <w:ind w:left="720" w:hanging="720"/>
      </w:pPr>
      <w:r>
        <w:t xml:space="preserve">Massachusetts Institute of Technology. (2008, April 29). Carbon Footprint </w:t>
      </w:r>
      <w:proofErr w:type="gramStart"/>
      <w:r>
        <w:t>Of</w:t>
      </w:r>
      <w:proofErr w:type="gramEnd"/>
      <w:r>
        <w:t xml:space="preserve"> Best Conserving Americans Is Still Double Global Average. ScienceDaily. Retrieved April 23, 2020 from www.sciencedaily.com/releases/2008/04/080428120658.htm</w:t>
      </w:r>
    </w:p>
    <w:p w14:paraId="16D24951" w14:textId="77777777" w:rsidR="003345CA" w:rsidRDefault="003345CA">
      <w:pPr>
        <w:pBdr>
          <w:top w:val="nil"/>
          <w:left w:val="nil"/>
          <w:bottom w:val="nil"/>
          <w:right w:val="nil"/>
          <w:between w:val="nil"/>
        </w:pBdr>
        <w:ind w:left="720" w:hanging="720"/>
      </w:pPr>
    </w:p>
    <w:p w14:paraId="1C535F47" w14:textId="77777777" w:rsidR="003345CA" w:rsidRDefault="0046350E">
      <w:pPr>
        <w:ind w:left="720" w:hanging="720"/>
      </w:pPr>
      <w:r>
        <w:t xml:space="preserve">“Sources of Greenhouse Gas Emissions.” EPA, Environmental Protection Agency, 11 Apr.    2020, </w:t>
      </w:r>
      <w:hyperlink r:id="rId28">
        <w:r>
          <w:rPr>
            <w:color w:val="1155CC"/>
            <w:u w:val="single"/>
          </w:rPr>
          <w:t>www.epa.gov/ghgemissions/sources-greenhouse-gas-emissions</w:t>
        </w:r>
      </w:hyperlink>
      <w:r>
        <w:t>.</w:t>
      </w:r>
    </w:p>
    <w:p w14:paraId="457AD8C5" w14:textId="77777777" w:rsidR="003345CA" w:rsidRDefault="003345CA">
      <w:pPr>
        <w:ind w:left="720" w:hanging="720"/>
      </w:pPr>
    </w:p>
    <w:p w14:paraId="14DADD54" w14:textId="77777777" w:rsidR="003345CA" w:rsidRDefault="003345CA">
      <w:pPr>
        <w:pBdr>
          <w:top w:val="nil"/>
          <w:left w:val="nil"/>
          <w:bottom w:val="nil"/>
          <w:right w:val="nil"/>
          <w:between w:val="nil"/>
        </w:pBdr>
        <w:ind w:left="720" w:hanging="720"/>
      </w:pPr>
    </w:p>
    <w:p w14:paraId="2B69983D" w14:textId="77777777" w:rsidR="003345CA" w:rsidRDefault="003345CA">
      <w:pPr>
        <w:pBdr>
          <w:top w:val="nil"/>
          <w:left w:val="nil"/>
          <w:bottom w:val="nil"/>
          <w:right w:val="nil"/>
          <w:between w:val="nil"/>
        </w:pBdr>
        <w:ind w:left="720" w:hanging="720"/>
        <w:rPr>
          <w:b/>
        </w:rPr>
      </w:pPr>
    </w:p>
    <w:p w14:paraId="0D0222E5" w14:textId="77777777" w:rsidR="003345CA" w:rsidRDefault="003345CA">
      <w:pPr>
        <w:pBdr>
          <w:top w:val="nil"/>
          <w:left w:val="nil"/>
          <w:bottom w:val="nil"/>
          <w:right w:val="nil"/>
          <w:between w:val="nil"/>
        </w:pBdr>
        <w:ind w:left="720" w:hanging="720"/>
        <w:jc w:val="center"/>
        <w:rPr>
          <w:b/>
        </w:rPr>
      </w:pPr>
    </w:p>
    <w:p w14:paraId="204B78C2" w14:textId="77777777" w:rsidR="003345CA" w:rsidRDefault="0046350E">
      <w:pPr>
        <w:pStyle w:val="Heading1"/>
        <w:ind w:left="720" w:hanging="720"/>
        <w:jc w:val="center"/>
      </w:pPr>
      <w:bookmarkStart w:id="137" w:name="_3zb9qnwze5ox" w:colFirst="0" w:colLast="0"/>
      <w:bookmarkStart w:id="138" w:name="_kxlr0r6jszrf" w:colFirst="0" w:colLast="0"/>
      <w:bookmarkStart w:id="139" w:name="_Toc39826956"/>
      <w:bookmarkEnd w:id="137"/>
      <w:bookmarkEnd w:id="138"/>
      <w:r>
        <w:t>Images</w:t>
      </w:r>
      <w:bookmarkEnd w:id="139"/>
    </w:p>
    <w:p w14:paraId="0A6465E6" w14:textId="77777777" w:rsidR="003345CA" w:rsidRDefault="003345CA">
      <w:pPr>
        <w:pBdr>
          <w:top w:val="nil"/>
          <w:left w:val="nil"/>
          <w:bottom w:val="nil"/>
          <w:right w:val="nil"/>
          <w:between w:val="nil"/>
        </w:pBdr>
        <w:ind w:left="720" w:hanging="720"/>
      </w:pPr>
    </w:p>
    <w:p w14:paraId="48A5DD9B" w14:textId="77777777" w:rsidR="003345CA" w:rsidRDefault="0046350E">
      <w:pPr>
        <w:pBdr>
          <w:top w:val="nil"/>
          <w:left w:val="nil"/>
          <w:bottom w:val="nil"/>
          <w:right w:val="nil"/>
          <w:between w:val="nil"/>
        </w:pBdr>
        <w:ind w:left="720" w:hanging="720"/>
      </w:pPr>
      <w:r>
        <w:lastRenderedPageBreak/>
        <w:t xml:space="preserve">“Greenhouse Gas Effect.” Climate Central, 16 Apr. 2014, </w:t>
      </w:r>
      <w:hyperlink r:id="rId29">
        <w:r>
          <w:rPr>
            <w:color w:val="1155CC"/>
            <w:u w:val="single"/>
          </w:rPr>
          <w:t>https://medialibrary.climatecentral.org/resources/the-greenhouse-effect</w:t>
        </w:r>
      </w:hyperlink>
      <w:r>
        <w:t>.</w:t>
      </w:r>
    </w:p>
    <w:p w14:paraId="1E334DDD" w14:textId="77777777" w:rsidR="003345CA" w:rsidRDefault="003345CA">
      <w:pPr>
        <w:pBdr>
          <w:top w:val="nil"/>
          <w:left w:val="nil"/>
          <w:bottom w:val="nil"/>
          <w:right w:val="nil"/>
          <w:between w:val="nil"/>
        </w:pBdr>
        <w:ind w:left="720" w:hanging="720"/>
      </w:pPr>
    </w:p>
    <w:p w14:paraId="313EE6DC" w14:textId="77777777" w:rsidR="003345CA" w:rsidRDefault="0046350E">
      <w:pPr>
        <w:pBdr>
          <w:top w:val="nil"/>
          <w:left w:val="nil"/>
          <w:bottom w:val="nil"/>
          <w:right w:val="nil"/>
          <w:between w:val="nil"/>
        </w:pBdr>
        <w:ind w:left="720" w:hanging="720"/>
      </w:pPr>
      <w:r>
        <w:t xml:space="preserve">“Map of Climate Smart Communities” (n.d.). Retrieved from </w:t>
      </w:r>
      <w:hyperlink r:id="rId30">
        <w:r>
          <w:rPr>
            <w:color w:val="1155CC"/>
            <w:u w:val="single"/>
          </w:rPr>
          <w:t>https://www.dec.ny.gov/images/administration_images/climatesmtmap12302019.jpg</w:t>
        </w:r>
      </w:hyperlink>
    </w:p>
    <w:p w14:paraId="552B5C03" w14:textId="77777777" w:rsidR="003345CA" w:rsidRDefault="003345CA">
      <w:pPr>
        <w:pBdr>
          <w:top w:val="nil"/>
          <w:left w:val="nil"/>
          <w:bottom w:val="nil"/>
          <w:right w:val="nil"/>
          <w:between w:val="nil"/>
        </w:pBdr>
        <w:ind w:left="720" w:hanging="720"/>
      </w:pPr>
    </w:p>
    <w:p w14:paraId="7B75D3FA" w14:textId="77777777" w:rsidR="003345CA" w:rsidRDefault="0046350E">
      <w:pPr>
        <w:pBdr>
          <w:top w:val="nil"/>
          <w:left w:val="nil"/>
          <w:bottom w:val="nil"/>
          <w:right w:val="nil"/>
          <w:between w:val="nil"/>
        </w:pBdr>
        <w:ind w:left="720" w:hanging="720"/>
      </w:pPr>
      <w:r>
        <w:t>“Village of Homer Logo.” (n.d.). Retrieved from https://www.homerny.org/wp-content/uploads/2017/12/village-seal-300x298.png</w:t>
      </w:r>
    </w:p>
    <w:p w14:paraId="72520572" w14:textId="77777777" w:rsidR="003345CA" w:rsidRDefault="003345CA">
      <w:pPr>
        <w:pBdr>
          <w:top w:val="nil"/>
          <w:left w:val="nil"/>
          <w:bottom w:val="nil"/>
          <w:right w:val="nil"/>
          <w:between w:val="nil"/>
        </w:pBdr>
        <w:ind w:left="720" w:hanging="720"/>
      </w:pPr>
    </w:p>
    <w:p w14:paraId="4FA7C858" w14:textId="77777777" w:rsidR="003345CA" w:rsidRDefault="003345CA">
      <w:pPr>
        <w:pBdr>
          <w:top w:val="nil"/>
          <w:left w:val="nil"/>
          <w:bottom w:val="nil"/>
          <w:right w:val="nil"/>
          <w:between w:val="nil"/>
        </w:pBdr>
      </w:pPr>
    </w:p>
    <w:sectPr w:rsidR="003345CA">
      <w:headerReference w:type="default" r:id="rId31"/>
      <w:footerReference w:type="default" r:id="rId32"/>
      <w:headerReference w:type="first" r:id="rId33"/>
      <w:footerReference w:type="first" r:id="rId34"/>
      <w:pgSz w:w="12240" w:h="15840"/>
      <w:pgMar w:top="1440" w:right="1440" w:bottom="1440" w:left="144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0" w:author="Adam Mazzoni" w:date="2020-05-06T14:18:00Z" w:initials="AM">
    <w:p w14:paraId="1FD2440B" w14:textId="7A550BD7" w:rsidR="00610EEF" w:rsidRDefault="00610EEF">
      <w:pPr>
        <w:pStyle w:val="CommentText"/>
      </w:pPr>
      <w:r>
        <w:rPr>
          <w:rStyle w:val="CommentReference"/>
        </w:rPr>
        <w:annotationRef/>
      </w:r>
      <w:r>
        <w:t xml:space="preserve">Revise this with revised info from UER </w:t>
      </w:r>
    </w:p>
  </w:comment>
  <w:comment w:id="61" w:author="Shenequa Y Perry" w:date="2020-05-15T09:03:00Z" w:initials="SYP">
    <w:p w14:paraId="6A5A3144" w14:textId="2120ED33" w:rsidR="00F32187" w:rsidRDefault="00F32187" w:rsidP="00F32187">
      <w:pPr>
        <w:pStyle w:val="CommentText"/>
        <w:ind w:left="0"/>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FD2440B" w15:done="1"/>
  <w15:commentEx w15:paraId="6A5A3144" w15:paraIdParent="1FD2440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8D96B" w16cex:dateUtc="2020-05-15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D2440B" w16cid:durableId="225D45C6"/>
  <w16cid:commentId w16cid:paraId="6A5A3144" w16cid:durableId="2268D9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C2140" w14:textId="77777777" w:rsidR="00B4112E" w:rsidRDefault="00B4112E">
      <w:pPr>
        <w:spacing w:before="0" w:line="240" w:lineRule="auto"/>
      </w:pPr>
      <w:r>
        <w:separator/>
      </w:r>
    </w:p>
  </w:endnote>
  <w:endnote w:type="continuationSeparator" w:id="0">
    <w:p w14:paraId="5CC7498C" w14:textId="77777777" w:rsidR="00B4112E" w:rsidRDefault="00B4112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verage">
    <w:altName w:val="Calibri"/>
    <w:panose1 w:val="020B0604020202020204"/>
    <w:charset w:val="00"/>
    <w:family w:val="auto"/>
    <w:pitch w:val="default"/>
  </w:font>
  <w:font w:name="Open Sans">
    <w:altName w:val="Calibri"/>
    <w:panose1 w:val="020B0604020202020204"/>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Calibri"/>
    <w:panose1 w:val="020B0604020202020204"/>
    <w:charset w:val="00"/>
    <w:family w:val="auto"/>
    <w:pitch w:val="default"/>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3900E" w14:textId="77777777" w:rsidR="00610EEF" w:rsidRDefault="00610EEF">
    <w:pPr>
      <w:pBdr>
        <w:top w:val="nil"/>
        <w:left w:val="nil"/>
        <w:bottom w:val="nil"/>
        <w:right w:val="nil"/>
        <w:between w:val="nil"/>
      </w:pBdr>
      <w:spacing w:before="0" w:line="240" w:lineRule="auto"/>
    </w:pPr>
    <w:r>
      <w:rPr>
        <w:noProof/>
      </w:rPr>
      <w:drawing>
        <wp:inline distT="114300" distB="114300" distL="114300" distR="114300" wp14:anchorId="083B669A" wp14:editId="69DBE8FA">
          <wp:extent cx="5943600" cy="254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314A4A7E" w14:textId="77777777" w:rsidR="00610EEF" w:rsidRDefault="00610EEF">
    <w:pPr>
      <w:pBdr>
        <w:top w:val="nil"/>
        <w:left w:val="nil"/>
        <w:bottom w:val="nil"/>
        <w:right w:val="nil"/>
        <w:between w:val="nil"/>
      </w:pBdr>
      <w:spacing w:before="0" w:line="240" w:lineRule="auto"/>
      <w:ind w:firstLine="7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Pr>
        <w:rFonts w:ascii="Economica" w:eastAsia="Economica" w:hAnsi="Economica" w:cs="Economica"/>
        <w:noProof/>
      </w:rPr>
      <w:t>2</w:t>
    </w:r>
    <w:r>
      <w:rPr>
        <w:rFonts w:ascii="Economica" w:eastAsia="Economica" w:hAnsi="Economica" w:cs="Econom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74587" w14:textId="77777777" w:rsidR="00610EEF" w:rsidRDefault="00610EEF">
    <w:pPr>
      <w:pBdr>
        <w:top w:val="nil"/>
        <w:left w:val="nil"/>
        <w:bottom w:val="nil"/>
        <w:right w:val="nil"/>
        <w:between w:val="nil"/>
      </w:pBdr>
      <w:spacing w:before="0"/>
    </w:pPr>
    <w:r>
      <w:rPr>
        <w:noProof/>
      </w:rPr>
      <w:drawing>
        <wp:inline distT="114300" distB="114300" distL="114300" distR="114300" wp14:anchorId="3485A027" wp14:editId="055DD023">
          <wp:extent cx="5943600" cy="25400"/>
          <wp:effectExtent l="0" t="0" r="0" b="0"/>
          <wp:docPr id="11" name="image5.png" descr="horizontal line"/>
          <wp:cNvGraphicFramePr/>
          <a:graphic xmlns:a="http://schemas.openxmlformats.org/drawingml/2006/main">
            <a:graphicData uri="http://schemas.openxmlformats.org/drawingml/2006/picture">
              <pic:pic xmlns:pic="http://schemas.openxmlformats.org/drawingml/2006/picture">
                <pic:nvPicPr>
                  <pic:cNvPr id="0" name="image5.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42B33BD6" w14:textId="77777777" w:rsidR="00610EEF" w:rsidRDefault="00610EEF">
    <w:pPr>
      <w:pStyle w:val="Subtitle"/>
      <w:pBdr>
        <w:top w:val="nil"/>
        <w:left w:val="nil"/>
        <w:bottom w:val="nil"/>
        <w:right w:val="nil"/>
        <w:between w:val="nil"/>
      </w:pBdr>
    </w:pPr>
    <w:bookmarkStart w:id="141" w:name="_w494w0yg8rg0" w:colFirst="0" w:colLast="0"/>
    <w:bookmarkEnd w:id="14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4D27A" w14:textId="77777777" w:rsidR="00B4112E" w:rsidRDefault="00B4112E">
      <w:pPr>
        <w:spacing w:before="0" w:line="240" w:lineRule="auto"/>
      </w:pPr>
      <w:r>
        <w:separator/>
      </w:r>
    </w:p>
  </w:footnote>
  <w:footnote w:type="continuationSeparator" w:id="0">
    <w:p w14:paraId="2DE2DD9E" w14:textId="77777777" w:rsidR="00B4112E" w:rsidRDefault="00B4112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1907A" w14:textId="77777777" w:rsidR="00610EEF" w:rsidRDefault="00610EEF">
    <w:pPr>
      <w:pStyle w:val="Subtitle"/>
      <w:pBdr>
        <w:top w:val="nil"/>
        <w:left w:val="nil"/>
        <w:bottom w:val="nil"/>
        <w:right w:val="nil"/>
        <w:between w:val="nil"/>
      </w:pBdr>
      <w:spacing w:before="600"/>
    </w:pPr>
    <w:bookmarkStart w:id="140" w:name="_leajue2ys1lr" w:colFirst="0" w:colLast="0"/>
    <w:bookmarkEnd w:id="140"/>
  </w:p>
  <w:p w14:paraId="5BB05EFA" w14:textId="77777777" w:rsidR="00610EEF" w:rsidRDefault="00610EEF">
    <w:pPr>
      <w:pBdr>
        <w:top w:val="nil"/>
        <w:left w:val="nil"/>
        <w:bottom w:val="nil"/>
        <w:right w:val="nil"/>
        <w:between w:val="nil"/>
      </w:pBdr>
      <w:spacing w:before="0" w:line="240" w:lineRule="auto"/>
    </w:pPr>
    <w:r>
      <w:rPr>
        <w:noProof/>
      </w:rPr>
      <w:drawing>
        <wp:inline distT="114300" distB="114300" distL="114300" distR="114300" wp14:anchorId="30E35493" wp14:editId="1C306911">
          <wp:extent cx="5943600" cy="25400"/>
          <wp:effectExtent l="0" t="0" r="0" b="0"/>
          <wp:docPr id="1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6D8E9" w14:textId="77777777" w:rsidR="00610EEF" w:rsidRDefault="00610EEF">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F748CA"/>
    <w:multiLevelType w:val="multilevel"/>
    <w:tmpl w:val="4EBAC340"/>
    <w:lvl w:ilvl="0">
      <w:start w:val="1"/>
      <w:numFmt w:val="decimal"/>
      <w:lvlText w:val="%1."/>
      <w:lvlJc w:val="left"/>
      <w:pPr>
        <w:ind w:left="720" w:hanging="360"/>
      </w:pPr>
      <w:rPr>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2451617"/>
    <w:multiLevelType w:val="multilevel"/>
    <w:tmpl w:val="4500736A"/>
    <w:lvl w:ilvl="0">
      <w:start w:val="1"/>
      <w:numFmt w:val="bullet"/>
      <w:lvlText w:val="●"/>
      <w:lvlJc w:val="right"/>
      <w:pPr>
        <w:ind w:left="720" w:hanging="360"/>
      </w:pPr>
      <w:rPr>
        <w:rFonts w:ascii="Average" w:eastAsia="Average" w:hAnsi="Average" w:cs="Average"/>
        <w:b w:val="0"/>
        <w:i w:val="0"/>
        <w:smallCaps w:val="0"/>
        <w:strike w:val="0"/>
        <w:color w:val="CACACA"/>
        <w:sz w:val="36"/>
        <w:szCs w:val="36"/>
        <w:u w:val="none"/>
        <w:shd w:val="clear" w:color="auto" w:fill="auto"/>
        <w:vertAlign w:val="baseline"/>
      </w:rPr>
    </w:lvl>
    <w:lvl w:ilvl="1">
      <w:start w:val="1"/>
      <w:numFmt w:val="bullet"/>
      <w:lvlText w:val="○"/>
      <w:lvlJc w:val="right"/>
      <w:pPr>
        <w:ind w:left="1440" w:hanging="360"/>
      </w:pPr>
      <w:rPr>
        <w:rFonts w:ascii="Average" w:eastAsia="Average" w:hAnsi="Average" w:cs="Average"/>
        <w:b w:val="0"/>
        <w:i w:val="0"/>
        <w:smallCaps w:val="0"/>
        <w:strike w:val="0"/>
        <w:color w:val="CACACA"/>
        <w:sz w:val="28"/>
        <w:szCs w:val="28"/>
        <w:u w:val="none"/>
        <w:shd w:val="clear" w:color="auto" w:fill="auto"/>
        <w:vertAlign w:val="baseline"/>
      </w:rPr>
    </w:lvl>
    <w:lvl w:ilvl="2">
      <w:start w:val="1"/>
      <w:numFmt w:val="bullet"/>
      <w:lvlText w:val="■"/>
      <w:lvlJc w:val="right"/>
      <w:pPr>
        <w:ind w:left="2160" w:hanging="360"/>
      </w:pPr>
      <w:rPr>
        <w:rFonts w:ascii="Average" w:eastAsia="Average" w:hAnsi="Average" w:cs="Average"/>
        <w:b w:val="0"/>
        <w:i w:val="0"/>
        <w:smallCaps w:val="0"/>
        <w:strike w:val="0"/>
        <w:color w:val="CACACA"/>
        <w:sz w:val="28"/>
        <w:szCs w:val="28"/>
        <w:u w:val="none"/>
        <w:shd w:val="clear" w:color="auto" w:fill="auto"/>
        <w:vertAlign w:val="baseline"/>
      </w:rPr>
    </w:lvl>
    <w:lvl w:ilvl="3">
      <w:start w:val="1"/>
      <w:numFmt w:val="bullet"/>
      <w:lvlText w:val="●"/>
      <w:lvlJc w:val="right"/>
      <w:pPr>
        <w:ind w:left="2880" w:hanging="360"/>
      </w:pPr>
      <w:rPr>
        <w:rFonts w:ascii="Average" w:eastAsia="Average" w:hAnsi="Average" w:cs="Average"/>
        <w:b w:val="0"/>
        <w:i w:val="0"/>
        <w:smallCaps w:val="0"/>
        <w:strike w:val="0"/>
        <w:color w:val="CACACA"/>
        <w:sz w:val="28"/>
        <w:szCs w:val="28"/>
        <w:u w:val="none"/>
        <w:shd w:val="clear" w:color="auto" w:fill="auto"/>
        <w:vertAlign w:val="baseline"/>
      </w:rPr>
    </w:lvl>
    <w:lvl w:ilvl="4">
      <w:start w:val="1"/>
      <w:numFmt w:val="bullet"/>
      <w:lvlText w:val="○"/>
      <w:lvlJc w:val="right"/>
      <w:pPr>
        <w:ind w:left="3600" w:hanging="360"/>
      </w:pPr>
      <w:rPr>
        <w:rFonts w:ascii="Average" w:eastAsia="Average" w:hAnsi="Average" w:cs="Average"/>
        <w:b w:val="0"/>
        <w:i w:val="0"/>
        <w:smallCaps w:val="0"/>
        <w:strike w:val="0"/>
        <w:color w:val="CACACA"/>
        <w:sz w:val="28"/>
        <w:szCs w:val="28"/>
        <w:u w:val="none"/>
        <w:shd w:val="clear" w:color="auto" w:fill="auto"/>
        <w:vertAlign w:val="baseline"/>
      </w:rPr>
    </w:lvl>
    <w:lvl w:ilvl="5">
      <w:start w:val="1"/>
      <w:numFmt w:val="bullet"/>
      <w:lvlText w:val="■"/>
      <w:lvlJc w:val="right"/>
      <w:pPr>
        <w:ind w:left="4320" w:hanging="360"/>
      </w:pPr>
      <w:rPr>
        <w:rFonts w:ascii="Average" w:eastAsia="Average" w:hAnsi="Average" w:cs="Average"/>
        <w:b w:val="0"/>
        <w:i w:val="0"/>
        <w:smallCaps w:val="0"/>
        <w:strike w:val="0"/>
        <w:color w:val="CACACA"/>
        <w:sz w:val="28"/>
        <w:szCs w:val="28"/>
        <w:u w:val="none"/>
        <w:shd w:val="clear" w:color="auto" w:fill="auto"/>
        <w:vertAlign w:val="baseline"/>
      </w:rPr>
    </w:lvl>
    <w:lvl w:ilvl="6">
      <w:start w:val="1"/>
      <w:numFmt w:val="bullet"/>
      <w:lvlText w:val="●"/>
      <w:lvlJc w:val="right"/>
      <w:pPr>
        <w:ind w:left="5040" w:hanging="360"/>
      </w:pPr>
      <w:rPr>
        <w:rFonts w:ascii="Average" w:eastAsia="Average" w:hAnsi="Average" w:cs="Average"/>
        <w:b w:val="0"/>
        <w:i w:val="0"/>
        <w:smallCaps w:val="0"/>
        <w:strike w:val="0"/>
        <w:color w:val="CACACA"/>
        <w:sz w:val="28"/>
        <w:szCs w:val="28"/>
        <w:u w:val="none"/>
        <w:shd w:val="clear" w:color="auto" w:fill="auto"/>
        <w:vertAlign w:val="baseline"/>
      </w:rPr>
    </w:lvl>
    <w:lvl w:ilvl="7">
      <w:start w:val="1"/>
      <w:numFmt w:val="bullet"/>
      <w:lvlText w:val="○"/>
      <w:lvlJc w:val="right"/>
      <w:pPr>
        <w:ind w:left="5760" w:hanging="360"/>
      </w:pPr>
      <w:rPr>
        <w:rFonts w:ascii="Average" w:eastAsia="Average" w:hAnsi="Average" w:cs="Average"/>
        <w:b w:val="0"/>
        <w:i w:val="0"/>
        <w:smallCaps w:val="0"/>
        <w:strike w:val="0"/>
        <w:color w:val="CACACA"/>
        <w:sz w:val="28"/>
        <w:szCs w:val="28"/>
        <w:u w:val="none"/>
        <w:shd w:val="clear" w:color="auto" w:fill="auto"/>
        <w:vertAlign w:val="baseline"/>
      </w:rPr>
    </w:lvl>
    <w:lvl w:ilvl="8">
      <w:start w:val="1"/>
      <w:numFmt w:val="bullet"/>
      <w:lvlText w:val="■"/>
      <w:lvlJc w:val="right"/>
      <w:pPr>
        <w:ind w:left="6480" w:hanging="360"/>
      </w:pPr>
      <w:rPr>
        <w:rFonts w:ascii="Average" w:eastAsia="Average" w:hAnsi="Average" w:cs="Average"/>
        <w:b w:val="0"/>
        <w:i w:val="0"/>
        <w:smallCaps w:val="0"/>
        <w:strike w:val="0"/>
        <w:color w:val="CACACA"/>
        <w:sz w:val="28"/>
        <w:szCs w:val="28"/>
        <w:u w:val="none"/>
        <w:shd w:val="clear" w:color="auto" w:fill="auto"/>
        <w:vertAlign w:val="baseline"/>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dam Mazzoni">
    <w15:presenceInfo w15:providerId="Windows Live" w15:userId="2a76d7b9f70247cb"/>
  </w15:person>
  <w15:person w15:author="Shenequa Y Perry">
    <w15:presenceInfo w15:providerId="AD" w15:userId="S::sperry01@esf.edu::6ea972e8-c9c7-46c4-91b4-3cb271c73e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5CA"/>
    <w:rsid w:val="00071979"/>
    <w:rsid w:val="00076BB3"/>
    <w:rsid w:val="00083028"/>
    <w:rsid w:val="00091FC4"/>
    <w:rsid w:val="000927FE"/>
    <w:rsid w:val="000B34F9"/>
    <w:rsid w:val="00157847"/>
    <w:rsid w:val="003345CA"/>
    <w:rsid w:val="00371E20"/>
    <w:rsid w:val="003F0FF6"/>
    <w:rsid w:val="0046350E"/>
    <w:rsid w:val="004B2C69"/>
    <w:rsid w:val="004D75F7"/>
    <w:rsid w:val="00556E3E"/>
    <w:rsid w:val="00576DED"/>
    <w:rsid w:val="00591B1D"/>
    <w:rsid w:val="005B0D59"/>
    <w:rsid w:val="005D4676"/>
    <w:rsid w:val="00610EEF"/>
    <w:rsid w:val="0067136B"/>
    <w:rsid w:val="006837AA"/>
    <w:rsid w:val="006D3897"/>
    <w:rsid w:val="00706E2B"/>
    <w:rsid w:val="00763E52"/>
    <w:rsid w:val="007A44B0"/>
    <w:rsid w:val="007D1347"/>
    <w:rsid w:val="008620CA"/>
    <w:rsid w:val="00885C93"/>
    <w:rsid w:val="00962BDC"/>
    <w:rsid w:val="009635D8"/>
    <w:rsid w:val="00A97A2E"/>
    <w:rsid w:val="00AA41FD"/>
    <w:rsid w:val="00AA7C87"/>
    <w:rsid w:val="00B209B0"/>
    <w:rsid w:val="00B243E4"/>
    <w:rsid w:val="00B4112E"/>
    <w:rsid w:val="00B843DF"/>
    <w:rsid w:val="00C21331"/>
    <w:rsid w:val="00C75306"/>
    <w:rsid w:val="00CB75ED"/>
    <w:rsid w:val="00D27EFD"/>
    <w:rsid w:val="00E22A43"/>
    <w:rsid w:val="00E42E21"/>
    <w:rsid w:val="00E45301"/>
    <w:rsid w:val="00EC7368"/>
    <w:rsid w:val="00F16EC4"/>
    <w:rsid w:val="00F32187"/>
    <w:rsid w:val="00F46F2A"/>
    <w:rsid w:val="00F870E0"/>
    <w:rsid w:val="00FD5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7932D"/>
  <w15:docId w15:val="{298224BB-D3FC-4D7D-A188-A87BCBAF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Open Sans" w:hAnsi="Open Sans" w:cs="Open Sans"/>
        <w:sz w:val="22"/>
        <w:szCs w:val="22"/>
        <w:lang w:val="en"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B843DF"/>
    <w:rPr>
      <w:sz w:val="16"/>
      <w:szCs w:val="16"/>
    </w:rPr>
  </w:style>
  <w:style w:type="paragraph" w:styleId="CommentText">
    <w:name w:val="annotation text"/>
    <w:basedOn w:val="Normal"/>
    <w:link w:val="CommentTextChar"/>
    <w:uiPriority w:val="99"/>
    <w:semiHidden/>
    <w:unhideWhenUsed/>
    <w:rsid w:val="00B843DF"/>
    <w:pPr>
      <w:spacing w:line="240" w:lineRule="auto"/>
    </w:pPr>
    <w:rPr>
      <w:sz w:val="20"/>
      <w:szCs w:val="20"/>
    </w:rPr>
  </w:style>
  <w:style w:type="character" w:customStyle="1" w:styleId="CommentTextChar">
    <w:name w:val="Comment Text Char"/>
    <w:basedOn w:val="DefaultParagraphFont"/>
    <w:link w:val="CommentText"/>
    <w:uiPriority w:val="99"/>
    <w:semiHidden/>
    <w:rsid w:val="00B843DF"/>
    <w:rPr>
      <w:sz w:val="20"/>
      <w:szCs w:val="20"/>
    </w:rPr>
  </w:style>
  <w:style w:type="paragraph" w:styleId="CommentSubject">
    <w:name w:val="annotation subject"/>
    <w:basedOn w:val="CommentText"/>
    <w:next w:val="CommentText"/>
    <w:link w:val="CommentSubjectChar"/>
    <w:uiPriority w:val="99"/>
    <w:semiHidden/>
    <w:unhideWhenUsed/>
    <w:rsid w:val="00B843DF"/>
    <w:rPr>
      <w:b/>
      <w:bCs/>
    </w:rPr>
  </w:style>
  <w:style w:type="character" w:customStyle="1" w:styleId="CommentSubjectChar">
    <w:name w:val="Comment Subject Char"/>
    <w:basedOn w:val="CommentTextChar"/>
    <w:link w:val="CommentSubject"/>
    <w:uiPriority w:val="99"/>
    <w:semiHidden/>
    <w:rsid w:val="00B843DF"/>
    <w:rPr>
      <w:b/>
      <w:bCs/>
      <w:sz w:val="20"/>
      <w:szCs w:val="20"/>
    </w:rPr>
  </w:style>
  <w:style w:type="paragraph" w:styleId="BalloonText">
    <w:name w:val="Balloon Text"/>
    <w:basedOn w:val="Normal"/>
    <w:link w:val="BalloonTextChar"/>
    <w:uiPriority w:val="99"/>
    <w:semiHidden/>
    <w:unhideWhenUsed/>
    <w:rsid w:val="00B843D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3DF"/>
    <w:rPr>
      <w:rFonts w:ascii="Segoe UI" w:hAnsi="Segoe UI" w:cs="Segoe UI"/>
      <w:sz w:val="18"/>
      <w:szCs w:val="18"/>
    </w:rPr>
  </w:style>
  <w:style w:type="character" w:styleId="Hyperlink">
    <w:name w:val="Hyperlink"/>
    <w:basedOn w:val="DefaultParagraphFont"/>
    <w:uiPriority w:val="99"/>
    <w:unhideWhenUsed/>
    <w:rsid w:val="008620CA"/>
    <w:rPr>
      <w:color w:val="0000FF"/>
      <w:u w:val="single"/>
    </w:rPr>
  </w:style>
  <w:style w:type="paragraph" w:styleId="TOCHeading">
    <w:name w:val="TOC Heading"/>
    <w:basedOn w:val="Heading1"/>
    <w:next w:val="Normal"/>
    <w:uiPriority w:val="39"/>
    <w:unhideWhenUsed/>
    <w:qFormat/>
    <w:rsid w:val="00071979"/>
    <w:pPr>
      <w:keepNext/>
      <w:keepLines/>
      <w:spacing w:before="240" w:line="259" w:lineRule="auto"/>
      <w:ind w:left="0"/>
      <w:outlineLvl w:val="9"/>
    </w:pPr>
    <w:rPr>
      <w:rFonts w:asciiTheme="majorHAnsi" w:eastAsiaTheme="majorEastAsia" w:hAnsiTheme="majorHAnsi" w:cstheme="majorBidi"/>
      <w:b w:val="0"/>
      <w:color w:val="365F91" w:themeColor="accent1" w:themeShade="BF"/>
      <w:lang w:val="en-US"/>
    </w:rPr>
  </w:style>
  <w:style w:type="paragraph" w:styleId="TOC1">
    <w:name w:val="toc 1"/>
    <w:basedOn w:val="Normal"/>
    <w:next w:val="Normal"/>
    <w:autoRedefine/>
    <w:uiPriority w:val="39"/>
    <w:unhideWhenUsed/>
    <w:rsid w:val="00071979"/>
    <w:pPr>
      <w:spacing w:after="100"/>
      <w:ind w:left="0"/>
    </w:pPr>
  </w:style>
  <w:style w:type="paragraph" w:styleId="TOC2">
    <w:name w:val="toc 2"/>
    <w:basedOn w:val="Normal"/>
    <w:next w:val="Normal"/>
    <w:autoRedefine/>
    <w:uiPriority w:val="39"/>
    <w:unhideWhenUsed/>
    <w:rsid w:val="0007197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947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comments" Target="comments.xml"/><Relationship Id="rId26" Type="http://schemas.openxmlformats.org/officeDocument/2006/relationships/image" Target="media/image8.jpg"/><Relationship Id="rId21" Type="http://schemas.microsoft.com/office/2018/08/relationships/commentsExtensible" Target="commentsExtensible.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1.xml"/><Relationship Id="rId20" Type="http://schemas.microsoft.com/office/2016/09/relationships/commentsIds" Target="commentsIds.xml"/><Relationship Id="rId29" Type="http://schemas.openxmlformats.org/officeDocument/2006/relationships/hyperlink" Target="https://medialibrary.climatecentral.org/resources/the-greenhouse-effe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pa.gov/statelocalenergy/local-greenhouse-gas-inventory-tool" TargetMode="External"/><Relationship Id="rId23" Type="http://schemas.openxmlformats.org/officeDocument/2006/relationships/chart" Target="charts/chart4.xml"/><Relationship Id="rId28" Type="http://schemas.openxmlformats.org/officeDocument/2006/relationships/hyperlink" Target="http://www.epa.gov/ghgemissions/sources-greenhouse-gas-emissions" TargetMode="External"/><Relationship Id="rId36" Type="http://schemas.microsoft.com/office/2011/relationships/people" Target="people.xml"/><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hyperlink" Target="https://climatesmart.ny.gov/actions-certification/actions/" TargetMode="External"/><Relationship Id="rId30" Type="http://schemas.openxmlformats.org/officeDocument/2006/relationships/hyperlink" Target="https://www.dec.ny.gov/images/administration_images/climatesmtmap12302019.jpg"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mazz\Documents\Raw%20Data%20for%20Homer%20Community%20Inventory_AM%20edi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azz\Documents\Raw%20Data%20for%20Homer%20Community%20Inventory_AM%20edi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mazz\Documents\Raw%20Data%20for%20Homer%20Community%20Inventory_AM%20edi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mazz\Documents\Raw%20Data%20for%20Homer%20Community%20Inventory_AM%20edit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azz\Documents\Raw%20Data%20for%20Homer%20Community%20Inventory_AM%20edits.xlsm"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mazz\Documents\Raw%20Data%20for%20Homer%20Community%20Inventory_AM%20edits.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2000" b="0">
                <a:solidFill>
                  <a:srgbClr val="757575"/>
                </a:solidFill>
                <a:latin typeface="+mn-lt"/>
              </a:defRPr>
            </a:pPr>
            <a:r>
              <a:rPr lang="en-US"/>
              <a:t>Homer 2018 Greenhouse Gas Inventory by Sector</a:t>
            </a:r>
          </a:p>
        </c:rich>
      </c:tx>
      <c:overlay val="0"/>
    </c:title>
    <c:autoTitleDeleted val="0"/>
    <c:plotArea>
      <c:layout/>
      <c:barChart>
        <c:barDir val="col"/>
        <c:grouping val="clustered"/>
        <c:varyColors val="1"/>
        <c:ser>
          <c:idx val="0"/>
          <c:order val="0"/>
          <c:tx>
            <c:strRef>
              <c:f>'Total GHG Impact'!$B$30</c:f>
              <c:strCache>
                <c:ptCount val="1"/>
              </c:strCache>
            </c:strRef>
          </c:tx>
          <c:spPr>
            <a:solidFill>
              <a:srgbClr val="4285F4"/>
            </a:solidFill>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'Total GHG Impact'!$A$31:$A$34</c:f>
              <c:strCache>
                <c:ptCount val="4"/>
                <c:pt idx="0">
                  <c:v>Residential</c:v>
                </c:pt>
                <c:pt idx="1">
                  <c:v>Commercial/Industrial</c:v>
                </c:pt>
                <c:pt idx="2">
                  <c:v>Transportation</c:v>
                </c:pt>
                <c:pt idx="3">
                  <c:v>Waste</c:v>
                </c:pt>
              </c:strCache>
            </c:strRef>
          </c:cat>
          <c:val>
            <c:numRef>
              <c:f>'Total GHG Impact'!$B$31:$B$34</c:f>
              <c:numCache>
                <c:formatCode>#,##0</c:formatCode>
                <c:ptCount val="4"/>
                <c:pt idx="0">
                  <c:v>8050.2</c:v>
                </c:pt>
                <c:pt idx="1">
                  <c:v>7210.3</c:v>
                </c:pt>
                <c:pt idx="2">
                  <c:v>15081</c:v>
                </c:pt>
                <c:pt idx="3">
                  <c:v>222.06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C66-4251-8B7F-FCF99219F39A}"/>
            </c:ext>
          </c:extLst>
        </c:ser>
        <c:dLbls>
          <c:dLblPos val="outEnd"/>
          <c:showLegendKey val="0"/>
          <c:showVal val="1"/>
          <c:showCatName val="0"/>
          <c:showSerName val="0"/>
          <c:showPercent val="0"/>
          <c:showBubbleSize val="0"/>
        </c:dLbls>
        <c:gapWidth val="150"/>
        <c:axId val="1324972800"/>
        <c:axId val="239861407"/>
      </c:barChart>
      <c:catAx>
        <c:axId val="1324972800"/>
        <c:scaling>
          <c:orientation val="minMax"/>
        </c:scaling>
        <c:delete val="0"/>
        <c:axPos val="b"/>
        <c:title>
          <c:tx>
            <c:rich>
              <a:bodyPr/>
              <a:lstStyle/>
              <a:p>
                <a:pPr lvl="0">
                  <a:defRPr b="0">
                    <a:solidFill>
                      <a:srgbClr val="000000"/>
                    </a:solidFill>
                    <a:latin typeface="+mn-lt"/>
                  </a:defRPr>
                </a:pPr>
                <a:r>
                  <a:rPr lang="en-US"/>
                  <a:t>Sectors</a:t>
                </a:r>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en-US"/>
          </a:p>
        </c:txPr>
        <c:crossAx val="239861407"/>
        <c:crosses val="autoZero"/>
        <c:auto val="1"/>
        <c:lblAlgn val="ctr"/>
        <c:lblOffset val="100"/>
        <c:noMultiLvlLbl val="1"/>
      </c:catAx>
      <c:valAx>
        <c:axId val="239861407"/>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r>
                  <a:rPr lang="en-US"/>
                  <a:t>Metric Tonnes CO2 eq. / year</a:t>
                </a:r>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en-US"/>
          </a:p>
        </c:txPr>
        <c:crossAx val="1324972800"/>
        <c:crosses val="autoZero"/>
        <c:crossBetween val="between"/>
      </c:valAx>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lgn="ctr">
              <a:defRPr sz="2400" b="0">
                <a:solidFill>
                  <a:srgbClr val="757575"/>
                </a:solidFill>
                <a:latin typeface="+mn-lt"/>
              </a:defRPr>
            </a:pPr>
            <a:r>
              <a:rPr lang="en-US"/>
              <a:t> Homer 2018 Greenhouse Gas Inventory by Source</a:t>
            </a:r>
          </a:p>
        </c:rich>
      </c:tx>
      <c:layout>
        <c:manualLayout>
          <c:xMode val="edge"/>
          <c:yMode val="edge"/>
          <c:x val="0.16758337707786528"/>
          <c:y val="3.2030618814157669E-2"/>
        </c:manualLayout>
      </c:layout>
      <c:overlay val="0"/>
    </c:title>
    <c:autoTitleDeleted val="0"/>
    <c:plotArea>
      <c:layout/>
      <c:barChart>
        <c:barDir val="col"/>
        <c:grouping val="clustered"/>
        <c:varyColors val="1"/>
        <c:ser>
          <c:idx val="0"/>
          <c:order val="0"/>
          <c:spPr>
            <a:solidFill>
              <a:srgbClr val="4A86E8"/>
            </a:solidFill>
          </c:spPr>
          <c:invertIfNegative val="1"/>
          <c:dLbls>
            <c:spPr>
              <a:noFill/>
              <a:ln>
                <a:noFill/>
              </a:ln>
              <a:effectLst/>
            </c:spPr>
            <c:txPr>
              <a:bodyPr/>
              <a:lstStyle/>
              <a:p>
                <a:pPr lvl="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 GHG Impact'!$A$5:$A$9</c:f>
              <c:strCache>
                <c:ptCount val="5"/>
                <c:pt idx="0">
                  <c:v>Electricity</c:v>
                </c:pt>
                <c:pt idx="1">
                  <c:v>Natural Gas</c:v>
                </c:pt>
                <c:pt idx="2">
                  <c:v>Gasoline</c:v>
                </c:pt>
                <c:pt idx="3">
                  <c:v>Diesel</c:v>
                </c:pt>
                <c:pt idx="4">
                  <c:v>Solid Waste</c:v>
                </c:pt>
              </c:strCache>
            </c:strRef>
          </c:cat>
          <c:val>
            <c:numRef>
              <c:f>'Total GHG Impact'!$B$5:$B$9</c:f>
              <c:numCache>
                <c:formatCode>#,##0</c:formatCode>
                <c:ptCount val="5"/>
                <c:pt idx="0">
                  <c:v>4234.5</c:v>
                </c:pt>
                <c:pt idx="1">
                  <c:v>11026</c:v>
                </c:pt>
                <c:pt idx="2">
                  <c:v>13321</c:v>
                </c:pt>
                <c:pt idx="3">
                  <c:v>1760</c:v>
                </c:pt>
                <c:pt idx="4">
                  <c:v>222.06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57E-4735-B387-11F0BB726FBA}"/>
            </c:ext>
          </c:extLst>
        </c:ser>
        <c:dLbls>
          <c:showLegendKey val="0"/>
          <c:showVal val="0"/>
          <c:showCatName val="0"/>
          <c:showSerName val="0"/>
          <c:showPercent val="0"/>
          <c:showBubbleSize val="0"/>
        </c:dLbls>
        <c:gapWidth val="150"/>
        <c:axId val="519621779"/>
        <c:axId val="670773863"/>
      </c:barChart>
      <c:catAx>
        <c:axId val="519621779"/>
        <c:scaling>
          <c:orientation val="minMax"/>
        </c:scaling>
        <c:delete val="0"/>
        <c:axPos val="b"/>
        <c:title>
          <c:tx>
            <c:rich>
              <a:bodyPr/>
              <a:lstStyle/>
              <a:p>
                <a:pPr>
                  <a:defRPr/>
                </a:pPr>
                <a:r>
                  <a:rPr lang="en-US"/>
                  <a:t>Sources</a:t>
                </a:r>
              </a:p>
            </c:rich>
          </c:tx>
          <c:overlay val="0"/>
        </c:title>
        <c:numFmt formatCode="General" sourceLinked="1"/>
        <c:majorTickMark val="none"/>
        <c:minorTickMark val="none"/>
        <c:tickLblPos val="nextTo"/>
        <c:txPr>
          <a:bodyPr/>
          <a:lstStyle/>
          <a:p>
            <a:pPr lvl="0">
              <a:defRPr sz="1400" b="0">
                <a:solidFill>
                  <a:srgbClr val="000000"/>
                </a:solidFill>
                <a:latin typeface="+mn-lt"/>
              </a:defRPr>
            </a:pPr>
            <a:endParaRPr lang="en-US"/>
          </a:p>
        </c:txPr>
        <c:crossAx val="670773863"/>
        <c:crosses val="autoZero"/>
        <c:auto val="1"/>
        <c:lblAlgn val="ctr"/>
        <c:lblOffset val="100"/>
        <c:noMultiLvlLbl val="1"/>
      </c:catAx>
      <c:valAx>
        <c:axId val="670773863"/>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sz="1400" b="0">
                    <a:solidFill>
                      <a:srgbClr val="000000"/>
                    </a:solidFill>
                    <a:latin typeface="+mn-lt"/>
                  </a:defRPr>
                </a:pPr>
                <a:r>
                  <a:rPr lang="en-US"/>
                  <a:t>Metric Tonnes CO2 eq. / year</a:t>
                </a:r>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en-US"/>
          </a:p>
        </c:txPr>
        <c:crossAx val="519621779"/>
        <c:crosses val="autoZero"/>
        <c:crossBetween val="between"/>
      </c:valAx>
    </c:plotArea>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en-US"/>
              <a:t>Residential Sector Emissions by Source (MTCO2e)</a:t>
            </a:r>
          </a:p>
        </c:rich>
      </c:tx>
      <c:overlay val="0"/>
    </c:title>
    <c:autoTitleDeleted val="0"/>
    <c:plotArea>
      <c:layout/>
      <c:pieChart>
        <c:varyColors val="1"/>
        <c:ser>
          <c:idx val="0"/>
          <c:order val="0"/>
          <c:dPt>
            <c:idx val="0"/>
            <c:bubble3D val="0"/>
            <c:spPr>
              <a:solidFill>
                <a:srgbClr val="4285F4"/>
              </a:solidFill>
            </c:spPr>
            <c:extLst>
              <c:ext xmlns:c16="http://schemas.microsoft.com/office/drawing/2014/chart" uri="{C3380CC4-5D6E-409C-BE32-E72D297353CC}">
                <c16:uniqueId val="{00000001-A2D7-4E8D-80CB-2661138A856B}"/>
              </c:ext>
            </c:extLst>
          </c:dPt>
          <c:dPt>
            <c:idx val="1"/>
            <c:bubble3D val="0"/>
            <c:spPr>
              <a:solidFill>
                <a:srgbClr val="EA4335"/>
              </a:solidFill>
            </c:spPr>
            <c:extLst>
              <c:ext xmlns:c16="http://schemas.microsoft.com/office/drawing/2014/chart" uri="{C3380CC4-5D6E-409C-BE32-E72D297353CC}">
                <c16:uniqueId val="{00000003-A2D7-4E8D-80CB-2661138A856B}"/>
              </c:ext>
            </c:extLst>
          </c:dPt>
          <c:dLbls>
            <c:spPr>
              <a:noFill/>
              <a:ln>
                <a:noFill/>
              </a:ln>
              <a:effectLst/>
            </c:sp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'Total GHG Impact'!$A$24:$A$25</c:f>
              <c:strCache>
                <c:ptCount val="2"/>
                <c:pt idx="0">
                  <c:v>Natural Gas</c:v>
                </c:pt>
                <c:pt idx="1">
                  <c:v>Electricity</c:v>
                </c:pt>
              </c:strCache>
            </c:strRef>
          </c:cat>
          <c:val>
            <c:numRef>
              <c:f>'Total GHG Impact'!$B$24:$B$25</c:f>
              <c:numCache>
                <c:formatCode>#,##0</c:formatCode>
                <c:ptCount val="2"/>
                <c:pt idx="0">
                  <c:v>7068</c:v>
                </c:pt>
                <c:pt idx="1">
                  <c:v>982.2</c:v>
                </c:pt>
              </c:numCache>
            </c:numRef>
          </c:val>
          <c:extLst>
            <c:ext xmlns:c16="http://schemas.microsoft.com/office/drawing/2014/chart" uri="{C3380CC4-5D6E-409C-BE32-E72D297353CC}">
              <c16:uniqueId val="{00000004-A2D7-4E8D-80CB-2661138A856B}"/>
            </c:ext>
          </c:extLst>
        </c:ser>
        <c:dLbls>
          <c:dLblPos val="bestFit"/>
          <c:showLegendKey val="0"/>
          <c:showVal val="1"/>
          <c:showCatName val="0"/>
          <c:showSerName val="0"/>
          <c:showPercent val="0"/>
          <c:showBubbleSize val="0"/>
          <c:showLeaderLines val="1"/>
        </c:dLbls>
        <c:firstSliceAng val="0"/>
      </c:pieChart>
    </c:plotArea>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en-US"/>
              <a:t>Commercial/Industrial Sector Emissions by Source (MTCO2e)</a:t>
            </a:r>
          </a:p>
        </c:rich>
      </c:tx>
      <c:overlay val="0"/>
    </c:title>
    <c:autoTitleDeleted val="0"/>
    <c:plotArea>
      <c:layout/>
      <c:pieChart>
        <c:varyColors val="1"/>
        <c:ser>
          <c:idx val="0"/>
          <c:order val="0"/>
          <c:dPt>
            <c:idx val="0"/>
            <c:bubble3D val="0"/>
            <c:spPr>
              <a:solidFill>
                <a:srgbClr val="4285F4"/>
              </a:solidFill>
            </c:spPr>
            <c:extLst>
              <c:ext xmlns:c16="http://schemas.microsoft.com/office/drawing/2014/chart" uri="{C3380CC4-5D6E-409C-BE32-E72D297353CC}">
                <c16:uniqueId val="{00000001-5AAA-4BFD-847B-B4C1B30FB9DB}"/>
              </c:ext>
            </c:extLst>
          </c:dPt>
          <c:dPt>
            <c:idx val="1"/>
            <c:bubble3D val="0"/>
            <c:spPr>
              <a:solidFill>
                <a:srgbClr val="EA4335"/>
              </a:solidFill>
            </c:spPr>
            <c:extLst>
              <c:ext xmlns:c16="http://schemas.microsoft.com/office/drawing/2014/chart" uri="{C3380CC4-5D6E-409C-BE32-E72D297353CC}">
                <c16:uniqueId val="{00000003-5AAA-4BFD-847B-B4C1B30FB9DB}"/>
              </c:ext>
            </c:extLst>
          </c:dPt>
          <c:dLbls>
            <c:spPr>
              <a:noFill/>
              <a:ln>
                <a:noFill/>
              </a:ln>
              <a:effectLst/>
            </c:sp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'Total GHG Impact'!$A$27:$A$28</c:f>
              <c:strCache>
                <c:ptCount val="2"/>
                <c:pt idx="0">
                  <c:v>Natural Gas</c:v>
                </c:pt>
                <c:pt idx="1">
                  <c:v>Electricity</c:v>
                </c:pt>
              </c:strCache>
            </c:strRef>
          </c:cat>
          <c:val>
            <c:numRef>
              <c:f>'Total GHG Impact'!$B$27:$B$28</c:f>
              <c:numCache>
                <c:formatCode>#,##0</c:formatCode>
                <c:ptCount val="2"/>
                <c:pt idx="0">
                  <c:v>3958</c:v>
                </c:pt>
                <c:pt idx="1">
                  <c:v>3252.3</c:v>
                </c:pt>
              </c:numCache>
            </c:numRef>
          </c:val>
          <c:extLst>
            <c:ext xmlns:c16="http://schemas.microsoft.com/office/drawing/2014/chart" uri="{C3380CC4-5D6E-409C-BE32-E72D297353CC}">
              <c16:uniqueId val="{00000004-5AAA-4BFD-847B-B4C1B30FB9DB}"/>
            </c:ext>
          </c:extLst>
        </c:ser>
        <c:dLbls>
          <c:dLblPos val="bestFit"/>
          <c:showLegendKey val="0"/>
          <c:showVal val="1"/>
          <c:showCatName val="0"/>
          <c:showSerName val="0"/>
          <c:showPercent val="0"/>
          <c:showBubbleSize val="0"/>
          <c:showLeaderLines val="1"/>
        </c:dLbls>
        <c:firstSliceAng val="0"/>
      </c:pieChart>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Transportation Emissions by Source (MTCO2e)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89-4CBC-9188-FEB7A5E150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89-4CBC-9188-FEB7A5E150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 GHG Impact'!$A$7:$A$8</c:f>
              <c:strCache>
                <c:ptCount val="2"/>
                <c:pt idx="0">
                  <c:v>Gasoline</c:v>
                </c:pt>
                <c:pt idx="1">
                  <c:v>Diesel</c:v>
                </c:pt>
              </c:strCache>
            </c:strRef>
          </c:cat>
          <c:val>
            <c:numRef>
              <c:f>'Total GHG Impact'!$B$7:$B$8</c:f>
              <c:numCache>
                <c:formatCode>#,##0</c:formatCode>
                <c:ptCount val="2"/>
                <c:pt idx="0">
                  <c:v>13321</c:v>
                </c:pt>
                <c:pt idx="1">
                  <c:v>1760</c:v>
                </c:pt>
              </c:numCache>
            </c:numRef>
          </c:val>
          <c:extLst>
            <c:ext xmlns:c16="http://schemas.microsoft.com/office/drawing/2014/chart" uri="{C3380CC4-5D6E-409C-BE32-E72D297353CC}">
              <c16:uniqueId val="{00000004-F189-4CBC-9188-FEB7A5E150E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3000" b="0">
                <a:solidFill>
                  <a:schemeClr val="dk1"/>
                </a:solidFill>
                <a:latin typeface="+mn-lt"/>
              </a:defRPr>
            </a:pPr>
            <a:r>
              <a:rPr lang="en-US"/>
              <a:t>Annual Per Capita GHG Impact</a:t>
            </a:r>
          </a:p>
        </c:rich>
      </c:tx>
      <c:overlay val="0"/>
    </c:title>
    <c:autoTitleDeleted val="0"/>
    <c:plotArea>
      <c:layout/>
      <c:barChart>
        <c:barDir val="col"/>
        <c:grouping val="clustered"/>
        <c:varyColors val="1"/>
        <c:ser>
          <c:idx val="0"/>
          <c:order val="0"/>
          <c:spPr>
            <a:solidFill>
              <a:srgbClr val="4285F4"/>
            </a:solidFill>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'Total GHG Impact'!$E$5:$E$9</c:f>
              <c:strCache>
                <c:ptCount val="5"/>
                <c:pt idx="0">
                  <c:v>New York City</c:v>
                </c:pt>
                <c:pt idx="1">
                  <c:v>Village of Homer</c:v>
                </c:pt>
                <c:pt idx="2">
                  <c:v>Village of Minoa</c:v>
                </c:pt>
                <c:pt idx="3">
                  <c:v>National</c:v>
                </c:pt>
                <c:pt idx="4">
                  <c:v>Global</c:v>
                </c:pt>
              </c:strCache>
            </c:strRef>
          </c:cat>
          <c:val>
            <c:numRef>
              <c:f>'Total GHG Impact'!$F$5:$F$9</c:f>
              <c:numCache>
                <c:formatCode>#,##0.0</c:formatCode>
                <c:ptCount val="5"/>
                <c:pt idx="0">
                  <c:v>6.2</c:v>
                </c:pt>
                <c:pt idx="1">
                  <c:v>9.7522527121888967</c:v>
                </c:pt>
                <c:pt idx="2">
                  <c:v>3.742244128732966</c:v>
                </c:pt>
                <c:pt idx="3">
                  <c:v>20</c:v>
                </c:pt>
                <c:pt idx="4">
                  <c:v>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B039-43EF-A946-F7B9FA3E7477}"/>
            </c:ext>
          </c:extLst>
        </c:ser>
        <c:dLbls>
          <c:dLblPos val="outEnd"/>
          <c:showLegendKey val="0"/>
          <c:showVal val="1"/>
          <c:showCatName val="0"/>
          <c:showSerName val="0"/>
          <c:showPercent val="0"/>
          <c:showBubbleSize val="0"/>
        </c:dLbls>
        <c:gapWidth val="150"/>
        <c:axId val="1912123000"/>
        <c:axId val="125098892"/>
      </c:barChart>
      <c:catAx>
        <c:axId val="1912123000"/>
        <c:scaling>
          <c:orientation val="minMax"/>
        </c:scaling>
        <c:delete val="0"/>
        <c:axPos val="b"/>
        <c:numFmt formatCode="General" sourceLinked="1"/>
        <c:majorTickMark val="none"/>
        <c:minorTickMark val="none"/>
        <c:tickLblPos val="nextTo"/>
        <c:txPr>
          <a:bodyPr/>
          <a:lstStyle/>
          <a:p>
            <a:pPr lvl="0">
              <a:defRPr sz="1200" b="0">
                <a:solidFill>
                  <a:srgbClr val="000000"/>
                </a:solidFill>
                <a:latin typeface="+mn-lt"/>
              </a:defRPr>
            </a:pPr>
            <a:endParaRPr lang="en-US"/>
          </a:p>
        </c:txPr>
        <c:crossAx val="125098892"/>
        <c:crosses val="autoZero"/>
        <c:auto val="1"/>
        <c:lblAlgn val="ctr"/>
        <c:lblOffset val="100"/>
        <c:noMultiLvlLbl val="1"/>
      </c:catAx>
      <c:valAx>
        <c:axId val="125098892"/>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sz="1200" b="0">
                    <a:solidFill>
                      <a:srgbClr val="000000"/>
                    </a:solidFill>
                    <a:latin typeface="+mn-lt"/>
                  </a:defRPr>
                </a:pPr>
                <a:r>
                  <a:rPr lang="en-US" sz="1200"/>
                  <a:t>Metric Tonnes CO2 eq. / year</a:t>
                </a:r>
              </a:p>
            </c:rich>
          </c:tx>
          <c:layout>
            <c:manualLayout>
              <c:xMode val="edge"/>
              <c:yMode val="edge"/>
              <c:x val="2.2222222222222223E-2"/>
              <c:y val="0.33185983827493259"/>
            </c:manualLayout>
          </c:layout>
          <c:overlay val="0"/>
        </c:title>
        <c:numFmt formatCode="#,##0.0" sourceLinked="1"/>
        <c:majorTickMark val="none"/>
        <c:minorTickMark val="none"/>
        <c:tickLblPos val="nextTo"/>
        <c:spPr>
          <a:ln/>
        </c:spPr>
        <c:txPr>
          <a:bodyPr/>
          <a:lstStyle/>
          <a:p>
            <a:pPr lvl="0">
              <a:defRPr b="0">
                <a:solidFill>
                  <a:srgbClr val="000000"/>
                </a:solidFill>
                <a:latin typeface="+mn-lt"/>
              </a:defRPr>
            </a:pPr>
            <a:endParaRPr lang="en-US"/>
          </a:p>
        </c:txPr>
        <c:crossAx val="1912123000"/>
        <c:crosses val="autoZero"/>
        <c:crossBetween val="between"/>
      </c:valAx>
    </c:plotArea>
    <c:plotVisOnly val="1"/>
    <c:dispBlanksAs val="zero"/>
    <c:showDLblsOverMax val="1"/>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02964-E767-4E7A-83F4-F8503AFC1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1829</TotalTime>
  <Pages>28</Pages>
  <Words>5201</Words>
  <Characters>29650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Mazzoni</dc:creator>
  <cp:lastModifiedBy>Shenequa Y Perry</cp:lastModifiedBy>
  <cp:revision>31</cp:revision>
  <dcterms:created xsi:type="dcterms:W3CDTF">2020-05-06T11:49:00Z</dcterms:created>
  <dcterms:modified xsi:type="dcterms:W3CDTF">2020-05-15T13:22:00Z</dcterms:modified>
</cp:coreProperties>
</file>